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32"/>
          <w:szCs w:val="32"/>
        </w:rPr>
      </w:pPr>
      <w:r>
        <w:rPr>
          <w:rFonts w:hint="eastAsia" w:ascii="黑体" w:hAnsi="宋体" w:eastAsia="黑体" w:cs="宋体"/>
          <w:kern w:val="0"/>
          <w:sz w:val="32"/>
          <w:szCs w:val="32"/>
        </w:rPr>
        <w:t>附件2</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22</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商丘市第一实验小学</w:t>
      </w:r>
      <w:r>
        <w:rPr>
          <w:rFonts w:hint="eastAsia" w:ascii="黑体" w:hAnsi="黑体" w:eastAsia="黑体" w:cs="黑体"/>
          <w:sz w:val="52"/>
          <w:szCs w:val="52"/>
        </w:rPr>
        <w:t>部门决算</w:t>
      </w: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r>
        <w:rPr>
          <w:rFonts w:hint="eastAsia" w:ascii="黑体" w:hAnsi="黑体" w:eastAsia="黑体" w:cs="黑体"/>
          <w:sz w:val="32"/>
          <w:szCs w:val="32"/>
        </w:rPr>
        <w:t>二〇二三年</w:t>
      </w:r>
      <w:r>
        <w:rPr>
          <w:rFonts w:hint="eastAsia" w:ascii="黑体" w:hAnsi="黑体" w:eastAsia="黑体" w:cs="黑体"/>
          <w:sz w:val="32"/>
          <w:szCs w:val="32"/>
          <w:lang w:val="en-US" w:eastAsia="zh-CN"/>
        </w:rPr>
        <w:t>十</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lang w:val="en-US" w:eastAsia="zh-CN"/>
        </w:rPr>
        <w:t>单位</w:t>
      </w:r>
      <w:r>
        <w:rPr>
          <w:rFonts w:hint="eastAsia" w:ascii="宋体" w:hAnsi="宋体" w:cs="宋体"/>
          <w:sz w:val="32"/>
          <w:szCs w:val="32"/>
        </w:rPr>
        <w:t>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2</w:t>
      </w:r>
      <w:r>
        <w:rPr>
          <w:rFonts w:hint="eastAsia" w:ascii="黑体" w:hAnsi="黑体" w:eastAsia="黑体" w:cs="黑体"/>
          <w:sz w:val="32"/>
          <w:szCs w:val="32"/>
        </w:rPr>
        <w:t>年度部门决算表</w:t>
      </w:r>
    </w:p>
    <w:p>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2022</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商丘市第一实验小学</w:t>
      </w:r>
      <w:r>
        <w:rPr>
          <w:rFonts w:hint="eastAsia" w:ascii="黑体" w:hAnsi="黑体" w:eastAsia="黑体" w:cs="黑体"/>
          <w:sz w:val="48"/>
          <w:szCs w:val="48"/>
        </w:rPr>
        <w:t>概况</w:t>
      </w:r>
    </w:p>
    <w:p>
      <w:pPr>
        <w:widowControl/>
        <w:ind w:firstLine="640" w:firstLineChars="200"/>
        <w:jc w:val="left"/>
        <w:outlineLvl w:val="1"/>
        <w:rPr>
          <w:rFonts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我校是一所义务教育学校。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商丘市第一实验小学。</w:t>
      </w:r>
    </w:p>
    <w:p>
      <w:pPr>
        <w:widowControl/>
        <w:ind w:firstLine="640" w:firstLineChars="200"/>
        <w:jc w:val="left"/>
        <w:rPr>
          <w:rFonts w:hint="eastAsia" w:ascii="仿宋_GB2312" w:hAnsi="仿宋_GB2312" w:eastAsia="仿宋_GB2312" w:cs="仿宋_GB2312"/>
          <w:kern w:val="0"/>
          <w:sz w:val="32"/>
          <w:szCs w:val="32"/>
        </w:rPr>
      </w:pPr>
    </w:p>
    <w:p>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w:t>
      </w:r>
      <w:r>
        <w:rPr>
          <w:rFonts w:ascii="黑体" w:hAnsi="黑体" w:eastAsia="黑体" w:cs="黑体"/>
          <w:sz w:val="48"/>
          <w:szCs w:val="48"/>
        </w:rPr>
        <w:t>2</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4694"/>
        <w:gridCol w:w="822"/>
        <w:gridCol w:w="1378"/>
        <w:gridCol w:w="4417"/>
        <w:gridCol w:w="822"/>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90" w:hRule="atLeast"/>
        </w:trPr>
        <w:tc>
          <w:tcPr>
            <w:tcW w:w="14174" w:type="dxa"/>
            <w:gridSpan w:val="6"/>
            <w:tcBorders>
              <w:top w:val="nil"/>
              <w:left w:val="nil"/>
              <w:bottom w:val="nil"/>
              <w:right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694" w:type="dxa"/>
            <w:tcBorders>
              <w:top w:val="nil"/>
              <w:left w:val="nil"/>
              <w:bottom w:val="nil"/>
              <w:right w:val="nil"/>
            </w:tcBorders>
            <w:shd w:val="clear" w:color="auto" w:fill="FFFFFF"/>
            <w:noWrap/>
            <w:vAlign w:val="bottom"/>
          </w:tcPr>
          <w:p>
            <w:pPr>
              <w:rPr>
                <w:rFonts w:hint="eastAsia" w:ascii="Arial" w:hAnsi="Arial" w:cs="Arial"/>
                <w:i w:val="0"/>
                <w:iCs w:val="0"/>
                <w:color w:val="000000"/>
                <w:sz w:val="20"/>
                <w:szCs w:val="20"/>
                <w:u w:val="none"/>
              </w:rPr>
            </w:pPr>
          </w:p>
        </w:tc>
        <w:tc>
          <w:tcPr>
            <w:tcW w:w="8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378"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4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041"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255" w:hRule="atLeast"/>
        </w:trPr>
        <w:tc>
          <w:tcPr>
            <w:tcW w:w="4694" w:type="dxa"/>
            <w:tcBorders>
              <w:top w:val="nil"/>
              <w:left w:val="nil"/>
              <w:bottom w:val="nil"/>
              <w:right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8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1378"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4417"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822" w:type="dxa"/>
            <w:tcBorders>
              <w:top w:val="nil"/>
              <w:left w:val="nil"/>
              <w:bottom w:val="nil"/>
              <w:right w:val="nil"/>
            </w:tcBorders>
            <w:shd w:val="clear" w:color="auto" w:fill="FFFFFF"/>
            <w:noWrap/>
            <w:vAlign w:val="bottom"/>
          </w:tcPr>
          <w:p>
            <w:pPr>
              <w:rPr>
                <w:rFonts w:hint="default" w:ascii="Arial" w:hAnsi="Arial" w:cs="Arial"/>
                <w:i w:val="0"/>
                <w:iCs w:val="0"/>
                <w:color w:val="000000"/>
                <w:sz w:val="20"/>
                <w:szCs w:val="20"/>
                <w:u w:val="none"/>
              </w:rPr>
            </w:pPr>
          </w:p>
        </w:tc>
        <w:tc>
          <w:tcPr>
            <w:tcW w:w="2041" w:type="dxa"/>
            <w:tcBorders>
              <w:top w:val="nil"/>
              <w:left w:val="nil"/>
              <w:bottom w:val="nil"/>
              <w:right w:val="nil"/>
            </w:tcBorders>
            <w:shd w:val="clear" w:color="auto" w:fill="FFFFFF"/>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89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80" w:type="dxa"/>
            <w:gridSpan w:val="3"/>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7,356.05</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7,356.05</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109.66</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4694"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7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441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2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4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14174"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08" w:hRule="atLeast"/>
        </w:trPr>
        <w:tc>
          <w:tcPr>
            <w:tcW w:w="14174"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
        <w:gridCol w:w="326"/>
        <w:gridCol w:w="334"/>
        <w:gridCol w:w="3956"/>
        <w:gridCol w:w="1404"/>
        <w:gridCol w:w="1404"/>
        <w:gridCol w:w="1186"/>
        <w:gridCol w:w="1186"/>
        <w:gridCol w:w="1186"/>
        <w:gridCol w:w="1186"/>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26"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32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3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942" w:type="dxa"/>
            <w:gridSpan w:val="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140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40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8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4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04"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04"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86"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8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4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42" w:type="dxa"/>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0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42" w:type="dxa"/>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7,356.05</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7,356.05</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6,215.74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6,215.74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6,215.74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6,215.74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6,175.74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6,175.74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40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6"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tbl>
      <w:tblPr>
        <w:tblStyle w:val="4"/>
        <w:tblpPr w:leftFromText="180" w:rightFromText="180" w:vertAnchor="text" w:horzAnchor="page" w:tblpX="1471" w:tblpY="151"/>
        <w:tblOverlap w:val="never"/>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4"/>
        <w:gridCol w:w="380"/>
        <w:gridCol w:w="383"/>
        <w:gridCol w:w="4116"/>
        <w:gridCol w:w="1596"/>
        <w:gridCol w:w="1142"/>
        <w:gridCol w:w="1142"/>
        <w:gridCol w:w="1596"/>
        <w:gridCol w:w="1140"/>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4174"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74"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38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83"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411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30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253" w:type="dxa"/>
            <w:gridSpan w:val="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15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30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5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96"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42"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42"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96"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40"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2305" w:type="dxa"/>
            <w:vMerge w:val="restart"/>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16" w:type="dxa"/>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0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4116"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0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137"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4116"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96"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05"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53"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6"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2"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6"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05"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253"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7,465.71</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6,061.74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1,403.97</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1,403.97</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1,403.97</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6,285.40</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1,363.97</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37"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4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3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02"/>
        <w:gridCol w:w="505"/>
        <w:gridCol w:w="1364"/>
        <w:gridCol w:w="3487"/>
        <w:gridCol w:w="505"/>
        <w:gridCol w:w="1131"/>
        <w:gridCol w:w="1296"/>
        <w:gridCol w:w="1159"/>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202"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50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6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48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50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3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5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2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202"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50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6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487"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50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3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9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5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2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0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103" w:type="dxa"/>
            <w:gridSpan w:val="6"/>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320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5"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64"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87"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5"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31" w:type="dxa"/>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96"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59"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25"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320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505"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64"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3487"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505"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31"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96"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159"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25"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7,356.05</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7,356.05</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109.66</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109.66</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202"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6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3487"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0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3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129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7,465.71</w:t>
            </w:r>
          </w:p>
        </w:tc>
        <w:tc>
          <w:tcPr>
            <w:tcW w:w="115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649" w:type="dxa"/>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0"/>
                <w:szCs w:val="20"/>
                <w:lang w:bidi="ar"/>
              </w:rPr>
              <w:t>注：本表反映部门本年度一般公共预算财政拨款、政府性基金预算财政拨款和国有资本经营预算财政拨款的总收支和年末结转结余情况。本表金额转换为万元时，因四舍五入可能存在尾差</w:t>
            </w:r>
          </w:p>
        </w:tc>
        <w:tc>
          <w:tcPr>
            <w:tcW w:w="1525" w:type="dxa"/>
            <w:tcBorders>
              <w:top w:val="nil"/>
              <w:left w:val="nil"/>
              <w:bottom w:val="nil"/>
              <w:right w:val="nil"/>
            </w:tcBorders>
            <w:noWrap/>
            <w:vAlign w:val="center"/>
          </w:tcPr>
          <w:p>
            <w:pPr>
              <w:jc w:val="left"/>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
        <w:gridCol w:w="388"/>
        <w:gridCol w:w="391"/>
        <w:gridCol w:w="5556"/>
        <w:gridCol w:w="2361"/>
        <w:gridCol w:w="2362"/>
        <w:gridCol w:w="2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88"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38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9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555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36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36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728"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6723" w:type="dxa"/>
            <w:gridSpan w:val="4"/>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236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36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728"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2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45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56" w:type="dxa"/>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61"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362"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28"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1167"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5556"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61"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62"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728"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5556" w:type="dxa"/>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361"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62"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728"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23"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3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723" w:type="dxa"/>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361"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7,465.71</w:t>
            </w:r>
          </w:p>
        </w:tc>
        <w:tc>
          <w:tcPr>
            <w:tcW w:w="236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6,061.74</w:t>
            </w:r>
          </w:p>
        </w:tc>
        <w:tc>
          <w:tcPr>
            <w:tcW w:w="272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1,403.97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6,325.40</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6,285.40</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4,921.43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其他普通教育支出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487.74</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73.38</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414.36</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172.23</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167"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5556"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6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36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480.34</w:t>
            </w:r>
          </w:p>
        </w:tc>
        <w:tc>
          <w:tcPr>
            <w:tcW w:w="2728"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74" w:type="dxa"/>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374"/>
        <w:gridCol w:w="1592"/>
        <w:gridCol w:w="939"/>
        <w:gridCol w:w="1980"/>
        <w:gridCol w:w="975"/>
        <w:gridCol w:w="810"/>
        <w:gridCol w:w="307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00"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95"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237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9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3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07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169"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单位：商丘市第一实验小学</w:t>
            </w:r>
          </w:p>
        </w:tc>
        <w:tc>
          <w:tcPr>
            <w:tcW w:w="159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3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98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07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60"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6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339" w:type="dxa"/>
            <w:gridSpan w:val="6"/>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74"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2"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39"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80"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75"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10"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75"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0" w:type="dxa"/>
            <w:vMerge w:val="restart"/>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374"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92"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980"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810"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3075"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5,643.95</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155.11</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1,863.70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283.09</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1,553.18</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846.01</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417.62</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173.51</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484.45</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262.69</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260.19</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9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3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939"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8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81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307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169" w:type="dxa"/>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592"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5,906.63</w:t>
            </w:r>
          </w:p>
        </w:tc>
        <w:tc>
          <w:tcPr>
            <w:tcW w:w="7779" w:type="dxa"/>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6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100" w:type="dxa"/>
            <w:gridSpan w:val="9"/>
            <w:tcBorders>
              <w:top w:val="nil"/>
              <w:left w:val="nil"/>
              <w:bottom w:val="nil"/>
              <w:right w:val="nil"/>
            </w:tcBorders>
            <w:noWrap/>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175" w:type="dxa"/>
        <w:tblInd w:w="0" w:type="dxa"/>
        <w:tblLayout w:type="fixed"/>
        <w:tblCellMar>
          <w:top w:w="0" w:type="dxa"/>
          <w:left w:w="0" w:type="dxa"/>
          <w:bottom w:w="0" w:type="dxa"/>
          <w:right w:w="0" w:type="dxa"/>
        </w:tblCellMar>
      </w:tblPr>
      <w:tblGrid>
        <w:gridCol w:w="612"/>
        <w:gridCol w:w="536"/>
        <w:gridCol w:w="1276"/>
        <w:gridCol w:w="1926"/>
        <w:gridCol w:w="30"/>
        <w:gridCol w:w="1896"/>
        <w:gridCol w:w="30"/>
        <w:gridCol w:w="1896"/>
        <w:gridCol w:w="30"/>
        <w:gridCol w:w="1897"/>
        <w:gridCol w:w="30"/>
        <w:gridCol w:w="1607"/>
        <w:gridCol w:w="2409"/>
      </w:tblGrid>
      <w:tr>
        <w:tblPrEx>
          <w:tblLayout w:type="fixed"/>
          <w:tblCellMar>
            <w:top w:w="0" w:type="dxa"/>
            <w:left w:w="0" w:type="dxa"/>
            <w:bottom w:w="0" w:type="dxa"/>
            <w:right w:w="0" w:type="dxa"/>
          </w:tblCellMar>
        </w:tblPrEx>
        <w:trPr>
          <w:trHeight w:val="600" w:hRule="atLeast"/>
        </w:trPr>
        <w:tc>
          <w:tcPr>
            <w:tcW w:w="14175" w:type="dxa"/>
            <w:gridSpan w:val="13"/>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Fonts w:ascii="宋体" w:hAnsi="宋体" w:cs="宋体"/>
                <w:color w:val="000000"/>
                <w:kern w:val="0"/>
                <w:sz w:val="20"/>
                <w:szCs w:val="20"/>
                <w:lang w:bidi="ar"/>
              </w:rPr>
              <w:t>7</w:t>
            </w:r>
            <w:r>
              <w:rPr>
                <w:rFonts w:hint="eastAsia" w:ascii="宋体" w:hAnsi="宋体" w:cs="宋体"/>
                <w:color w:val="000000"/>
                <w:kern w:val="0"/>
                <w:sz w:val="20"/>
                <w:szCs w:val="20"/>
                <w:lang w:bidi="ar"/>
              </w:rPr>
              <w:t>表</w:t>
            </w:r>
          </w:p>
        </w:tc>
      </w:tr>
      <w:tr>
        <w:tblPrEx>
          <w:tblLayout w:type="fixed"/>
          <w:tblCellMar>
            <w:top w:w="0" w:type="dxa"/>
            <w:left w:w="0" w:type="dxa"/>
            <w:bottom w:w="0" w:type="dxa"/>
            <w:right w:w="0" w:type="dxa"/>
          </w:tblCellMar>
        </w:tblPrEx>
        <w:trPr>
          <w:trHeight w:val="300" w:hRule="atLeast"/>
        </w:trPr>
        <w:tc>
          <w:tcPr>
            <w:tcW w:w="4380" w:type="dxa"/>
            <w:gridSpan w:val="5"/>
            <w:tcBorders>
              <w:top w:val="nil"/>
              <w:left w:val="nil"/>
              <w:bottom w:val="nil"/>
              <w:right w:val="nil"/>
            </w:tcBorders>
            <w:shd w:val="clear" w:color="auto" w:fill="FFFFFF"/>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单位</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商丘市第一实验小学</w:t>
            </w: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60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gridSpan w:val="2"/>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490"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240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Layout w:type="fixed"/>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637" w:type="dxa"/>
            <w:gridSpan w:val="2"/>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637"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24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645" w:hRule="atLeast"/>
        </w:trPr>
        <w:tc>
          <w:tcPr>
            <w:tcW w:w="14175" w:type="dxa"/>
            <w:gridSpan w:val="13"/>
            <w:tcBorders>
              <w:left w:val="nil"/>
              <w:bottom w:val="nil"/>
              <w:right w:val="nil"/>
            </w:tcBorders>
            <w:noWrap w:val="0"/>
            <w:tcMar>
              <w:top w:w="15" w:type="dxa"/>
              <w:left w:w="15" w:type="dxa"/>
              <w:right w:w="15" w:type="dxa"/>
            </w:tcMar>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注：本表反映部门本年度政府性基金预算财政拨款收入、支出及结转和结余情况。</w:t>
            </w:r>
          </w:p>
          <w:p>
            <w:pPr>
              <w:widowControl/>
              <w:jc w:val="left"/>
              <w:textAlignment w:val="center"/>
              <w:rPr>
                <w:rFonts w:ascii="宋体" w:hAnsi="宋体" w:cs="宋体"/>
                <w:color w:val="000000"/>
                <w:sz w:val="22"/>
              </w:rPr>
            </w:pPr>
            <w:r>
              <w:rPr>
                <w:rFonts w:hint="eastAsia" w:ascii="宋体" w:hAnsi="宋体" w:cs="宋体"/>
                <w:color w:val="000000"/>
                <w:sz w:val="22"/>
              </w:rPr>
              <w:t>说明：我部门没有政府性基金收入，也没有使用政府性基金安排的支出，故本表无数据。</w:t>
            </w:r>
          </w:p>
          <w:p>
            <w:pPr>
              <w:widowControl/>
              <w:jc w:val="left"/>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tbl>
            <w:tblPr>
              <w:tblStyle w:val="4"/>
              <w:tblW w:w="13100" w:type="dxa"/>
              <w:tblInd w:w="868" w:type="dxa"/>
              <w:tblLayout w:type="fixed"/>
              <w:tblCellMar>
                <w:top w:w="0" w:type="dxa"/>
                <w:left w:w="108" w:type="dxa"/>
                <w:bottom w:w="0" w:type="dxa"/>
                <w:right w:w="108" w:type="dxa"/>
              </w:tblCellMar>
            </w:tblPr>
            <w:tblGrid>
              <w:gridCol w:w="1159"/>
              <w:gridCol w:w="612"/>
              <w:gridCol w:w="1990"/>
              <w:gridCol w:w="2864"/>
              <w:gridCol w:w="2864"/>
              <w:gridCol w:w="3611"/>
            </w:tblGrid>
            <w:tr>
              <w:tblPrEx>
                <w:tblLayout w:type="fixed"/>
                <w:tblCellMar>
                  <w:top w:w="0" w:type="dxa"/>
                  <w:left w:w="108" w:type="dxa"/>
                  <w:bottom w:w="0" w:type="dxa"/>
                  <w:right w:w="108" w:type="dxa"/>
                </w:tblCellMar>
              </w:tblPrEx>
              <w:trPr>
                <w:trHeight w:val="756" w:hRule="atLeast"/>
              </w:trPr>
              <w:tc>
                <w:tcPr>
                  <w:tcW w:w="13100" w:type="dxa"/>
                  <w:gridSpan w:val="6"/>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327" w:hRule="atLeast"/>
              </w:trPr>
              <w:tc>
                <w:tcPr>
                  <w:tcW w:w="1159"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612"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990" w:type="dxa"/>
                  <w:tcBorders>
                    <w:top w:val="nil"/>
                    <w:left w:val="nil"/>
                    <w:bottom w:val="nil"/>
                    <w:right w:val="nil"/>
                  </w:tcBorders>
                  <w:shd w:val="clear" w:color="000000"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2864"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864"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611"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327" w:hRule="atLeast"/>
              </w:trPr>
              <w:tc>
                <w:tcPr>
                  <w:tcW w:w="3761" w:type="dxa"/>
                  <w:gridSpan w:val="3"/>
                  <w:tcBorders>
                    <w:top w:val="nil"/>
                    <w:left w:val="nil"/>
                    <w:bottom w:val="nil"/>
                    <w:right w:val="nil"/>
                  </w:tcBorders>
                  <w:shd w:val="clear" w:color="000000" w:fill="FFFFFF"/>
                  <w:noWrap/>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 xml:space="preserve">商丘市第一实验小学 </w:t>
                  </w:r>
                  <w:r>
                    <w:rPr>
                      <w:rFonts w:hint="eastAsia" w:ascii="宋体" w:hAnsi="宋体" w:cs="宋体"/>
                      <w:kern w:val="0"/>
                      <w:sz w:val="20"/>
                      <w:szCs w:val="20"/>
                    </w:rPr>
                    <w:t>　　</w:t>
                  </w:r>
                </w:p>
              </w:tc>
              <w:tc>
                <w:tcPr>
                  <w:tcW w:w="2864"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864" w:type="dxa"/>
                  <w:tcBorders>
                    <w:top w:val="nil"/>
                    <w:left w:val="nil"/>
                    <w:bottom w:val="nil"/>
                    <w:right w:val="nil"/>
                  </w:tcBorders>
                  <w:shd w:val="clear" w:color="000000" w:fill="FFFFFF"/>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3611" w:type="dxa"/>
                  <w:tcBorders>
                    <w:top w:val="nil"/>
                    <w:left w:val="nil"/>
                    <w:bottom w:val="nil"/>
                    <w:right w:val="nil"/>
                  </w:tcBorders>
                  <w:shd w:val="clear" w:color="000000" w:fill="FFFFFF"/>
                  <w:noWrap/>
                  <w:vAlign w:val="center"/>
                </w:tcPr>
                <w:p>
                  <w:pPr>
                    <w:widowControl/>
                    <w:jc w:val="right"/>
                    <w:rPr>
                      <w:rFonts w:hint="eastAsia"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33" w:hRule="atLeast"/>
              </w:trPr>
              <w:tc>
                <w:tcPr>
                  <w:tcW w:w="376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项 </w:t>
                  </w:r>
                  <w:r>
                    <w:rPr>
                      <w:rFonts w:hint="eastAsia" w:ascii="宋体" w:hAnsi="宋体" w:cs="宋体"/>
                      <w:color w:val="000000"/>
                      <w:kern w:val="0"/>
                      <w:sz w:val="22"/>
                    </w:rPr>
                    <w:t xml:space="preserve">   </w:t>
                  </w:r>
                  <w:r>
                    <w:rPr>
                      <w:rFonts w:hint="eastAsia" w:ascii="宋体" w:hAnsi="宋体" w:cs="宋体"/>
                      <w:kern w:val="0"/>
                      <w:sz w:val="24"/>
                      <w:szCs w:val="24"/>
                    </w:rPr>
                    <w:t>目</w:t>
                  </w:r>
                </w:p>
              </w:tc>
              <w:tc>
                <w:tcPr>
                  <w:tcW w:w="933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本年支出</w:t>
                  </w:r>
                </w:p>
              </w:tc>
            </w:tr>
            <w:tr>
              <w:tblPrEx>
                <w:tblLayout w:type="fixed"/>
                <w:tblCellMar>
                  <w:top w:w="0" w:type="dxa"/>
                  <w:left w:w="108" w:type="dxa"/>
                  <w:bottom w:w="0" w:type="dxa"/>
                  <w:right w:w="108" w:type="dxa"/>
                </w:tblCellMar>
              </w:tblPrEx>
              <w:trPr>
                <w:trHeight w:val="433" w:hRule="atLeast"/>
              </w:trPr>
              <w:tc>
                <w:tcPr>
                  <w:tcW w:w="17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科目代码</w:t>
                  </w:r>
                </w:p>
              </w:tc>
              <w:tc>
                <w:tcPr>
                  <w:tcW w:w="19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科目名称</w:t>
                  </w:r>
                </w:p>
              </w:tc>
              <w:tc>
                <w:tcPr>
                  <w:tcW w:w="28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8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xml:space="preserve">基本支出  </w:t>
                  </w:r>
                </w:p>
              </w:tc>
              <w:tc>
                <w:tcPr>
                  <w:tcW w:w="36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项目支出</w:t>
                  </w:r>
                </w:p>
              </w:tc>
            </w:tr>
            <w:tr>
              <w:tblPrEx>
                <w:tblLayout w:type="fixed"/>
                <w:tblCellMar>
                  <w:top w:w="0" w:type="dxa"/>
                  <w:left w:w="108" w:type="dxa"/>
                  <w:bottom w:w="0" w:type="dxa"/>
                  <w:right w:w="108" w:type="dxa"/>
                </w:tblCellMar>
              </w:tblPrEx>
              <w:trPr>
                <w:trHeight w:val="433" w:hRule="atLeast"/>
              </w:trPr>
              <w:tc>
                <w:tcPr>
                  <w:tcW w:w="17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6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33" w:hRule="atLeast"/>
              </w:trPr>
              <w:tc>
                <w:tcPr>
                  <w:tcW w:w="17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1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28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c>
                <w:tcPr>
                  <w:tcW w:w="36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33" w:hRule="atLeast"/>
              </w:trPr>
              <w:tc>
                <w:tcPr>
                  <w:tcW w:w="376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栏次</w:t>
                  </w:r>
                </w:p>
              </w:tc>
              <w:tc>
                <w:tcPr>
                  <w:tcW w:w="286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286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36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r>
            <w:tr>
              <w:tblPrEx>
                <w:tblLayout w:type="fixed"/>
                <w:tblCellMar>
                  <w:top w:w="0" w:type="dxa"/>
                  <w:left w:w="108" w:type="dxa"/>
                  <w:bottom w:w="0" w:type="dxa"/>
                  <w:right w:w="108" w:type="dxa"/>
                </w:tblCellMar>
              </w:tblPrEx>
              <w:trPr>
                <w:trHeight w:val="433" w:hRule="atLeast"/>
              </w:trPr>
              <w:tc>
                <w:tcPr>
                  <w:tcW w:w="376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合计</w:t>
                  </w:r>
                </w:p>
              </w:tc>
              <w:tc>
                <w:tcPr>
                  <w:tcW w:w="286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3" w:hRule="atLeast"/>
              </w:trPr>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c>
                <w:tcPr>
                  <w:tcW w:w="199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286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c>
                <w:tcPr>
                  <w:tcW w:w="361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767" w:hRule="atLeast"/>
              </w:trPr>
              <w:tc>
                <w:tcPr>
                  <w:tcW w:w="13100" w:type="dxa"/>
                  <w:gridSpan w:val="6"/>
                  <w:tcBorders>
                    <w:top w:val="nil"/>
                    <w:left w:val="nil"/>
                    <w:bottom w:val="nil"/>
                    <w:right w:val="nil"/>
                  </w:tcBorders>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注：本表反映部门本年度国有资本经营预算财政拨款支出情况。</w:t>
                  </w:r>
                </w:p>
              </w:tc>
            </w:tr>
            <w:tr>
              <w:tblPrEx>
                <w:tblLayout w:type="fixed"/>
                <w:tblCellMar>
                  <w:top w:w="0" w:type="dxa"/>
                  <w:left w:w="108" w:type="dxa"/>
                  <w:bottom w:w="0" w:type="dxa"/>
                  <w:right w:w="108" w:type="dxa"/>
                </w:tblCellMar>
              </w:tblPrEx>
              <w:trPr>
                <w:trHeight w:val="327" w:hRule="atLeast"/>
              </w:trPr>
              <w:tc>
                <w:tcPr>
                  <w:tcW w:w="13100" w:type="dxa"/>
                  <w:gridSpan w:val="6"/>
                  <w:tcBorders>
                    <w:top w:val="nil"/>
                    <w:left w:val="nil"/>
                    <w:bottom w:val="nil"/>
                    <w:right w:val="nil"/>
                  </w:tcBorders>
                  <w:noWrap w:val="0"/>
                  <w:vAlign w:val="center"/>
                </w:tcPr>
                <w:p>
                  <w:pPr>
                    <w:widowControl/>
                    <w:jc w:val="left"/>
                    <w:rPr>
                      <w:rFonts w:hint="eastAsia" w:ascii="宋体" w:hAnsi="宋体" w:cs="宋体"/>
                      <w:bCs/>
                      <w:kern w:val="0"/>
                      <w:sz w:val="24"/>
                      <w:szCs w:val="24"/>
                    </w:rPr>
                  </w:pPr>
                  <w:r>
                    <w:rPr>
                      <w:rFonts w:hint="eastAsia" w:ascii="宋体" w:hAnsi="宋体" w:cs="宋体"/>
                      <w:bCs/>
                      <w:kern w:val="0"/>
                      <w:sz w:val="24"/>
                      <w:szCs w:val="24"/>
                    </w:rPr>
                    <w:t>说明：我部门没有使用国有资本经营预算安排的支出，故本表无数据。</w:t>
                  </w:r>
                </w:p>
              </w:tc>
            </w:tr>
          </w:tbl>
          <w:p>
            <w:pPr>
              <w:widowControl/>
              <w:jc w:val="center"/>
              <w:textAlignment w:val="center"/>
              <w:rPr>
                <w:rFonts w:ascii="宋体" w:hAnsi="宋体" w:cs="宋体"/>
                <w:color w:val="000000"/>
                <w:sz w:val="20"/>
                <w:szCs w:val="20"/>
              </w:rPr>
            </w:pPr>
          </w:p>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bl>
            <w:tblPr>
              <w:tblStyle w:val="4"/>
              <w:tblW w:w="13807" w:type="dxa"/>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Layout w:type="fixed"/>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Layout w:type="fixed"/>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Fonts w:ascii="宋体" w:hAnsi="宋体" w:cs="宋体"/>
                      <w:color w:val="000000"/>
                      <w:kern w:val="0"/>
                      <w:sz w:val="20"/>
                      <w:szCs w:val="20"/>
                      <w:lang w:bidi="ar"/>
                    </w:rPr>
                    <w:t>9</w:t>
                  </w:r>
                  <w:r>
                    <w:rPr>
                      <w:rFonts w:hint="eastAsia" w:ascii="宋体" w:hAnsi="宋体" w:cs="宋体"/>
                      <w:color w:val="000000"/>
                      <w:kern w:val="0"/>
                      <w:sz w:val="20"/>
                      <w:szCs w:val="20"/>
                      <w:lang w:bidi="ar"/>
                    </w:rPr>
                    <w:t>表</w:t>
                  </w:r>
                </w:p>
              </w:tc>
            </w:tr>
            <w:tr>
              <w:tblPrEx>
                <w:tblLayout w:type="fixed"/>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单位</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商丘市第一实验小学</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Layout w:type="fixed"/>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Layout w:type="fixed"/>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公务用车购置及运行维护费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公务用车购置及运行维护费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Layout w:type="fixed"/>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运行维护费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运行维护费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Layout w:type="fixed"/>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tc>
            </w:tr>
          </w:tbl>
          <w:p>
            <w:pPr>
              <w:widowControl/>
              <w:jc w:val="center"/>
              <w:textAlignment w:val="center"/>
              <w:rPr>
                <w:rFonts w:ascii="宋体" w:hAnsi="宋体" w:cs="宋体"/>
                <w:color w:val="000000"/>
                <w:sz w:val="20"/>
                <w:szCs w:val="20"/>
              </w:rPr>
            </w:pPr>
          </w:p>
          <w:p>
            <w:pPr>
              <w:widowControl/>
              <w:jc w:val="center"/>
              <w:textAlignment w:val="center"/>
              <w:rPr>
                <w:rFonts w:hint="eastAsia" w:ascii="宋体" w:hAnsi="宋体" w:cs="宋体"/>
                <w:color w:val="000000"/>
                <w:sz w:val="20"/>
                <w:szCs w:val="20"/>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tabs>
          <w:tab w:val="left" w:pos="5665"/>
        </w:tabs>
        <w:rPr>
          <w:rFonts w:ascii="仿宋_GB2312" w:hAnsi="仿宋_GB2312" w:eastAsia="仿宋_GB2312" w:cs="仿宋_GB2312"/>
          <w:sz w:val="32"/>
          <w:szCs w:val="32"/>
        </w:rPr>
      </w:pPr>
    </w:p>
    <w:p>
      <w:pPr>
        <w:tabs>
          <w:tab w:val="left" w:pos="5665"/>
        </w:tabs>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w:t>
      </w:r>
      <w:r>
        <w:rPr>
          <w:rFonts w:ascii="黑体" w:hAnsi="黑体" w:eastAsia="黑体" w:cs="黑体"/>
          <w:sz w:val="48"/>
          <w:szCs w:val="48"/>
        </w:rPr>
        <w:t>2</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年度收、支总计均为</w:t>
      </w:r>
      <w:r>
        <w:rPr>
          <w:rFonts w:hint="eastAsia" w:ascii="仿宋_GB2312" w:hAnsi="仿宋_GB2312" w:eastAsia="仿宋_GB2312"/>
          <w:sz w:val="32"/>
          <w:szCs w:val="24"/>
        </w:rPr>
        <w:t>7,465.71万元。与上年度相比，收、支总计各增加1,446.46万元，增长24.03%。主要原因是</w:t>
      </w:r>
      <w:r>
        <w:rPr>
          <w:rFonts w:hint="eastAsia" w:ascii="仿宋_GB2312" w:hAnsi="仿宋_GB2312" w:eastAsia="仿宋_GB2312"/>
          <w:sz w:val="32"/>
          <w:szCs w:val="24"/>
          <w:lang w:val="en-US" w:eastAsia="zh-CN"/>
        </w:rPr>
        <w:t>人员经费（调资晋级，新入编教师）、项目收入、支出增加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sz w:val="32"/>
          <w:szCs w:val="24"/>
          <w:lang w:val="en-US"/>
        </w:rPr>
        <w:t>2022年度收入合计7,356.05万元，其中：财政拨款收入7,356.05万元，占100%</w:t>
      </w:r>
      <w:r>
        <w:rPr>
          <w:rFonts w:hint="eastAsia" w:ascii="仿宋_GB2312" w:hAnsi="仿宋_GB2312" w:eastAsia="仿宋_GB2312"/>
          <w:sz w:val="32"/>
          <w:szCs w:val="24"/>
          <w:lang w:val="en-US"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beforeLines="0" w:afterLines="0" w:line="590" w:lineRule="exact"/>
        <w:ind w:firstLine="64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2022年度支出合计7,465.71万元，其中：基本支出6,061.74万元，占81.19%；项目支出1,403.97万元，占18.81%</w:t>
      </w:r>
      <w:r>
        <w:rPr>
          <w:rFonts w:hint="eastAsia" w:ascii="仿宋_GB2312" w:hAnsi="仿宋_GB2312" w:eastAsia="仿宋_GB2312"/>
          <w:sz w:val="32"/>
          <w:szCs w:val="24"/>
          <w:lang w:val="en-US"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default" w:ascii="Times New Roman" w:hAnsi="Times New Roman" w:eastAsia="Times New Roman"/>
          <w:kern w:val="0"/>
          <w:sz w:val="18"/>
          <w:szCs w:val="24"/>
          <w:lang w:val="zh-CN"/>
        </w:rPr>
      </w:pPr>
      <w:r>
        <w:rPr>
          <w:rFonts w:hint="eastAsia" w:ascii="仿宋_GB2312" w:hAnsi="仿宋_GB2312" w:eastAsia="仿宋_GB2312"/>
          <w:sz w:val="32"/>
          <w:szCs w:val="24"/>
          <w:lang w:val="en-US"/>
        </w:rPr>
        <w:t>2022年度财政拨款收、支总计均为7,465.71万元。与上年度相比，财政拨款收、支总计各增加1,446.46万元，增长24.03%。主要原因</w:t>
      </w:r>
      <w:r>
        <w:rPr>
          <w:rFonts w:hint="eastAsia" w:ascii="仿宋_GB2312" w:hAnsi="仿宋_GB2312" w:eastAsia="仿宋_GB2312"/>
          <w:sz w:val="32"/>
          <w:szCs w:val="24"/>
          <w:lang w:val="en-US" w:eastAsia="zh-CN"/>
        </w:rPr>
        <w:t>是人员经费（调资晋级，新入编教师）、项目收入支出增加</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宋体" w:hAnsi="宋体"/>
          <w:kern w:val="0"/>
          <w:sz w:val="18"/>
          <w:szCs w:val="24"/>
          <w:lang w:val="zh-CN"/>
        </w:rPr>
      </w:pPr>
      <w:r>
        <w:rPr>
          <w:rFonts w:hint="eastAsia" w:ascii="仿宋_GB2312" w:hAnsi="仿宋_GB2312" w:eastAsia="仿宋_GB2312"/>
          <w:sz w:val="32"/>
          <w:szCs w:val="24"/>
          <w:lang w:val="en-US"/>
        </w:rPr>
        <w:t>2022年度一般公共预算财政拨款支出7,465.71万元，占支出合计的100%。与上年度相比，一般公共预算财政拨款支出增加1,452.39万元，增长24.15%。主要原因是主要原因</w:t>
      </w:r>
      <w:r>
        <w:rPr>
          <w:rFonts w:hint="eastAsia" w:ascii="仿宋_GB2312" w:hAnsi="仿宋_GB2312" w:eastAsia="仿宋_GB2312"/>
          <w:sz w:val="32"/>
          <w:szCs w:val="24"/>
          <w:lang w:val="en-US" w:eastAsia="zh-CN"/>
        </w:rPr>
        <w:t>是人员经费（调资晋级，新入编教师）、项目收入支出增加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spacing w:beforeLines="0" w:afterLines="0" w:line="590" w:lineRule="exact"/>
        <w:ind w:firstLine="640"/>
        <w:rPr>
          <w:rFonts w:hint="eastAsia" w:ascii="仿宋_GB2312" w:hAnsi="仿宋_GB2312" w:eastAsia="仿宋_GB2312"/>
          <w:sz w:val="32"/>
          <w:szCs w:val="24"/>
          <w:lang w:val="en-US"/>
        </w:rPr>
      </w:pPr>
      <w:r>
        <w:rPr>
          <w:rFonts w:hint="eastAsia" w:ascii="仿宋_GB2312" w:hAnsi="仿宋_GB2312" w:eastAsia="仿宋_GB2312"/>
          <w:sz w:val="32"/>
          <w:szCs w:val="24"/>
          <w:lang w:val="en-US"/>
        </w:rPr>
        <w:t>2022年度一般公共预算财政拨款支出7,465.71万元，主要用于以下方面：</w:t>
      </w:r>
      <w:r>
        <w:rPr>
          <w:rFonts w:hint="eastAsia" w:ascii="仿宋_GB2312" w:hAnsi="仿宋_GB2312" w:eastAsia="仿宋_GB2312"/>
          <w:sz w:val="32"/>
          <w:szCs w:val="24"/>
          <w:lang w:val="en-US" w:eastAsia="zh-CN"/>
        </w:rPr>
        <w:t>教育类支出6325.40</w:t>
      </w:r>
      <w:r>
        <w:rPr>
          <w:rFonts w:hint="eastAsia" w:ascii="仿宋_GB2312" w:hAnsi="仿宋_GB2312" w:eastAsia="仿宋_GB2312"/>
          <w:sz w:val="32"/>
          <w:szCs w:val="24"/>
          <w:lang w:val="en-US"/>
        </w:rPr>
        <w:t>万元，占</w:t>
      </w:r>
      <w:r>
        <w:rPr>
          <w:rFonts w:hint="eastAsia" w:ascii="仿宋_GB2312" w:hAnsi="仿宋_GB2312" w:eastAsia="仿宋_GB2312"/>
          <w:sz w:val="32"/>
          <w:szCs w:val="24"/>
          <w:lang w:val="en-US" w:eastAsia="zh-CN"/>
        </w:rPr>
        <w:t>84.73</w:t>
      </w:r>
      <w:r>
        <w:rPr>
          <w:rFonts w:hint="eastAsia" w:ascii="仿宋_GB2312" w:hAnsi="仿宋_GB2312" w:eastAsia="仿宋_GB2312"/>
          <w:sz w:val="32"/>
          <w:szCs w:val="24"/>
          <w:lang w:val="en-US"/>
        </w:rPr>
        <w:t>%；</w:t>
      </w:r>
      <w:r>
        <w:rPr>
          <w:rFonts w:hint="eastAsia" w:ascii="仿宋_GB2312" w:hAnsi="仿宋_GB2312" w:eastAsia="仿宋_GB2312"/>
          <w:sz w:val="32"/>
          <w:szCs w:val="24"/>
          <w:lang w:val="en-US" w:eastAsia="zh-CN"/>
        </w:rPr>
        <w:t>社会保障和就业</w:t>
      </w:r>
      <w:r>
        <w:rPr>
          <w:rFonts w:hint="eastAsia" w:ascii="仿宋_GB2312" w:hAnsi="仿宋_GB2312" w:eastAsia="仿宋_GB2312"/>
          <w:sz w:val="32"/>
          <w:szCs w:val="24"/>
          <w:lang w:val="en-US"/>
        </w:rPr>
        <w:t>支出</w:t>
      </w:r>
      <w:r>
        <w:rPr>
          <w:rFonts w:hint="eastAsia" w:ascii="仿宋_GB2312" w:hAnsi="仿宋_GB2312" w:eastAsia="仿宋_GB2312"/>
          <w:sz w:val="32"/>
          <w:szCs w:val="24"/>
          <w:lang w:val="en-US" w:eastAsia="zh-CN"/>
        </w:rPr>
        <w:t>487.74</w:t>
      </w:r>
      <w:r>
        <w:rPr>
          <w:rFonts w:hint="eastAsia" w:ascii="仿宋_GB2312" w:hAnsi="仿宋_GB2312" w:eastAsia="仿宋_GB2312"/>
          <w:sz w:val="32"/>
          <w:szCs w:val="24"/>
          <w:lang w:val="en-US"/>
        </w:rPr>
        <w:t>万元，占</w:t>
      </w:r>
      <w:r>
        <w:rPr>
          <w:rFonts w:hint="eastAsia" w:ascii="仿宋_GB2312" w:hAnsi="仿宋_GB2312" w:eastAsia="仿宋_GB2312"/>
          <w:sz w:val="32"/>
          <w:szCs w:val="24"/>
          <w:lang w:val="en-US" w:eastAsia="zh-CN"/>
        </w:rPr>
        <w:t>6.53</w:t>
      </w:r>
      <w:r>
        <w:rPr>
          <w:rFonts w:hint="eastAsia" w:ascii="仿宋_GB2312" w:hAnsi="仿宋_GB2312" w:eastAsia="仿宋_GB2312"/>
          <w:sz w:val="32"/>
          <w:szCs w:val="24"/>
          <w:lang w:val="en-US"/>
        </w:rPr>
        <w:t>%；</w:t>
      </w:r>
      <w:r>
        <w:rPr>
          <w:rFonts w:hint="eastAsia" w:ascii="仿宋_GB2312" w:hAnsi="仿宋_GB2312" w:eastAsia="仿宋_GB2312"/>
          <w:sz w:val="32"/>
          <w:szCs w:val="24"/>
          <w:lang w:val="en-US" w:eastAsia="zh-CN"/>
        </w:rPr>
        <w:t>卫生健康支出172.23万元，占2.31%；住房保障支出480.34万元，占6.43%。</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spacing w:beforeLines="0" w:afterLines="0" w:line="590" w:lineRule="exact"/>
        <w:ind w:firstLine="640"/>
        <w:rPr>
          <w:rFonts w:hint="default" w:ascii="Times New Roman" w:hAnsi="Times New Roman" w:eastAsia="Times New Roman"/>
          <w:sz w:val="32"/>
          <w:szCs w:val="24"/>
          <w:lang w:val="en-US"/>
        </w:rPr>
      </w:pPr>
      <w:r>
        <w:rPr>
          <w:rFonts w:hint="eastAsia" w:ascii="仿宋_GB2312" w:hAnsi="仿宋_GB2312" w:eastAsia="仿宋_GB2312"/>
          <w:sz w:val="32"/>
          <w:szCs w:val="24"/>
          <w:lang w:val="en-US"/>
        </w:rPr>
        <w:t>2022年度一般公共预算财政拨款支出年初预算为5,851.2万元，支出决算为7,465.71万元，完成年初预算的127.59%。其中：</w:t>
      </w:r>
    </w:p>
    <w:p>
      <w:pPr>
        <w:spacing w:line="590" w:lineRule="exact"/>
        <w:ind w:firstLine="640"/>
        <w:rPr>
          <w:rFonts w:hint="default" w:eastAsia="仿宋_GB2312"/>
          <w:sz w:val="32"/>
          <w:szCs w:val="24"/>
          <w:lang w:val="en-US" w:eastAsia="zh-CN"/>
        </w:rPr>
      </w:pPr>
      <w:r>
        <w:rPr>
          <w:rFonts w:hint="eastAsia" w:ascii="仿宋_GB2312" w:hAnsi="仿宋_GB2312" w:eastAsia="仿宋_GB2312"/>
          <w:b/>
          <w:sz w:val="32"/>
          <w:szCs w:val="24"/>
        </w:rPr>
        <w:t>1．教育支出（类）普通教育（款）小学教育（项）。</w:t>
      </w:r>
      <w:r>
        <w:rPr>
          <w:rFonts w:hint="eastAsia" w:ascii="仿宋_GB2312" w:hAnsi="仿宋_GB2312" w:eastAsia="仿宋_GB2312"/>
          <w:bCs/>
          <w:sz w:val="32"/>
          <w:szCs w:val="24"/>
        </w:rPr>
        <w:t>年</w:t>
      </w:r>
      <w:r>
        <w:rPr>
          <w:rFonts w:hint="eastAsia" w:ascii="仿宋_GB2312" w:hAnsi="仿宋_GB2312" w:eastAsia="仿宋_GB2312"/>
          <w:sz w:val="32"/>
          <w:szCs w:val="24"/>
        </w:rPr>
        <w:t>初预算为4</w:t>
      </w:r>
      <w:r>
        <w:rPr>
          <w:rFonts w:hint="eastAsia" w:ascii="仿宋_GB2312" w:hAnsi="仿宋_GB2312" w:eastAsia="仿宋_GB2312"/>
          <w:sz w:val="32"/>
          <w:szCs w:val="24"/>
          <w:lang w:val="en-US" w:eastAsia="zh-CN"/>
        </w:rPr>
        <w:t>711.82</w:t>
      </w:r>
      <w:r>
        <w:rPr>
          <w:rFonts w:hint="eastAsia" w:ascii="仿宋_GB2312" w:hAnsi="仿宋_GB2312" w:eastAsia="仿宋_GB2312"/>
          <w:sz w:val="32"/>
          <w:szCs w:val="24"/>
        </w:rPr>
        <w:t>万元，支出决算为</w:t>
      </w:r>
      <w:r>
        <w:rPr>
          <w:rFonts w:hint="eastAsia" w:ascii="仿宋_GB2312" w:hAnsi="仿宋_GB2312" w:eastAsia="仿宋_GB2312"/>
          <w:sz w:val="32"/>
          <w:szCs w:val="24"/>
          <w:lang w:val="en-US" w:eastAsia="zh-CN"/>
        </w:rPr>
        <w:t>6325.40</w:t>
      </w:r>
      <w:r>
        <w:rPr>
          <w:rFonts w:hint="eastAsia" w:ascii="仿宋_GB2312" w:hAnsi="仿宋_GB2312" w:eastAsia="仿宋_GB2312"/>
          <w:sz w:val="32"/>
          <w:szCs w:val="24"/>
        </w:rPr>
        <w:t>万元，完成年初预算的</w:t>
      </w:r>
      <w:r>
        <w:rPr>
          <w:rFonts w:hint="eastAsia" w:ascii="仿宋_GB2312" w:hAnsi="仿宋_GB2312" w:eastAsia="仿宋_GB2312"/>
          <w:sz w:val="32"/>
          <w:szCs w:val="24"/>
          <w:lang w:val="en-US" w:eastAsia="zh-CN"/>
        </w:rPr>
        <w:t>134</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sz w:val="32"/>
          <w:szCs w:val="24"/>
          <w:lang w:val="en-US" w:eastAsia="zh-CN"/>
        </w:rPr>
        <w:t>一部分支出使用上年结余结转资金、新增人员经费追加了预算及项目收入增加。</w:t>
      </w:r>
    </w:p>
    <w:p>
      <w:pPr>
        <w:spacing w:line="590" w:lineRule="exact"/>
        <w:ind w:firstLine="640"/>
        <w:rPr>
          <w:rFonts w:hint="default" w:ascii="仿宋_GB2312" w:hAnsi="仿宋_GB2312" w:eastAsia="仿宋_GB2312"/>
          <w:sz w:val="32"/>
          <w:szCs w:val="24"/>
          <w:lang w:val="en-US" w:eastAsia="zh-CN"/>
        </w:rPr>
      </w:pPr>
      <w:r>
        <w:rPr>
          <w:rFonts w:hint="eastAsia" w:ascii="仿宋_GB2312" w:hAnsi="仿宋_GB2312" w:eastAsia="仿宋_GB2312"/>
          <w:b/>
          <w:sz w:val="32"/>
          <w:szCs w:val="24"/>
        </w:rPr>
        <w:t>2．社会保障和就业支出（类）行政事业单位养老支出（款）事业单位离退休（项）。</w:t>
      </w:r>
      <w:r>
        <w:rPr>
          <w:rFonts w:hint="eastAsia" w:ascii="仿宋_GB2312" w:hAnsi="仿宋_GB2312" w:eastAsia="仿宋_GB2312"/>
          <w:bCs/>
          <w:sz w:val="32"/>
          <w:szCs w:val="24"/>
        </w:rPr>
        <w:t>年</w:t>
      </w:r>
      <w:r>
        <w:rPr>
          <w:rFonts w:hint="eastAsia" w:ascii="仿宋_GB2312" w:hAnsi="仿宋_GB2312" w:eastAsia="仿宋_GB2312"/>
          <w:sz w:val="32"/>
          <w:szCs w:val="24"/>
        </w:rPr>
        <w:t>初预算为</w:t>
      </w:r>
      <w:r>
        <w:rPr>
          <w:rFonts w:hint="eastAsia" w:ascii="仿宋_GB2312" w:hAnsi="仿宋_GB2312" w:eastAsia="仿宋_GB2312"/>
          <w:sz w:val="32"/>
          <w:szCs w:val="24"/>
          <w:lang w:val="en-US" w:eastAsia="zh-CN"/>
        </w:rPr>
        <w:t>67.48</w:t>
      </w:r>
      <w:r>
        <w:rPr>
          <w:rFonts w:hint="eastAsia" w:ascii="仿宋_GB2312" w:hAnsi="仿宋_GB2312" w:eastAsia="仿宋_GB2312"/>
          <w:sz w:val="32"/>
          <w:szCs w:val="24"/>
        </w:rPr>
        <w:t>万元，支出决算为</w:t>
      </w:r>
      <w:r>
        <w:rPr>
          <w:rFonts w:hint="eastAsia" w:ascii="仿宋_GB2312" w:hAnsi="仿宋_GB2312" w:eastAsia="仿宋_GB2312"/>
          <w:sz w:val="32"/>
          <w:szCs w:val="24"/>
          <w:lang w:val="en-US" w:eastAsia="zh-CN"/>
        </w:rPr>
        <w:t>73.38</w:t>
      </w:r>
      <w:r>
        <w:rPr>
          <w:rFonts w:hint="eastAsia" w:ascii="仿宋_GB2312" w:hAnsi="仿宋_GB2312" w:eastAsia="仿宋_GB2312"/>
          <w:sz w:val="32"/>
          <w:szCs w:val="24"/>
        </w:rPr>
        <w:t>万元，完成年初预算的</w:t>
      </w:r>
      <w:r>
        <w:rPr>
          <w:rFonts w:hint="eastAsia" w:ascii="仿宋_GB2312" w:hAnsi="仿宋_GB2312" w:eastAsia="仿宋_GB2312"/>
          <w:sz w:val="32"/>
          <w:szCs w:val="24"/>
          <w:lang w:val="en-US" w:eastAsia="zh-CN"/>
        </w:rPr>
        <w:t>108.74</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sz w:val="32"/>
          <w:szCs w:val="24"/>
          <w:lang w:val="en-US" w:eastAsia="zh-CN"/>
        </w:rPr>
        <w:t>退休人员增加，退休经费支出增加。</w:t>
      </w:r>
    </w:p>
    <w:p>
      <w:pPr>
        <w:spacing w:line="590" w:lineRule="exact"/>
        <w:ind w:firstLine="640"/>
        <w:rPr>
          <w:rFonts w:hint="default" w:ascii="仿宋_GB2312" w:hAnsi="仿宋_GB2312" w:eastAsia="仿宋_GB2312"/>
          <w:b/>
          <w:sz w:val="32"/>
          <w:szCs w:val="24"/>
          <w:lang w:val="en-US"/>
        </w:rPr>
      </w:pPr>
      <w:r>
        <w:rPr>
          <w:rFonts w:hint="eastAsia" w:ascii="仿宋_GB2312" w:hAnsi="仿宋_GB2312" w:eastAsia="仿宋_GB2312"/>
          <w:b/>
          <w:bCs/>
          <w:sz w:val="32"/>
          <w:szCs w:val="24"/>
        </w:rPr>
        <w:t>3</w:t>
      </w:r>
      <w:r>
        <w:rPr>
          <w:rFonts w:hint="eastAsia" w:ascii="仿宋_GB2312" w:hAnsi="仿宋_GB2312" w:eastAsia="仿宋_GB2312"/>
          <w:sz w:val="32"/>
          <w:szCs w:val="24"/>
        </w:rPr>
        <w:t>.</w:t>
      </w:r>
      <w:r>
        <w:rPr>
          <w:rFonts w:hint="eastAsia" w:ascii="仿宋_GB2312" w:hAnsi="仿宋_GB2312" w:eastAsia="仿宋_GB2312"/>
          <w:b/>
          <w:sz w:val="32"/>
          <w:szCs w:val="24"/>
        </w:rPr>
        <w:t xml:space="preserve"> 社会保障和就业支出（类）行政事业单位养老支出（款）行政事业单位基本养老保险缴费支出（项）。</w:t>
      </w:r>
      <w:r>
        <w:rPr>
          <w:rFonts w:hint="eastAsia" w:ascii="仿宋_GB2312" w:hAnsi="仿宋_GB2312" w:eastAsia="仿宋_GB2312"/>
          <w:sz w:val="32"/>
          <w:szCs w:val="24"/>
        </w:rPr>
        <w:t>年初预算为</w:t>
      </w:r>
      <w:r>
        <w:rPr>
          <w:rFonts w:hint="eastAsia" w:ascii="仿宋_GB2312" w:hAnsi="仿宋_GB2312" w:eastAsia="仿宋_GB2312"/>
          <w:sz w:val="32"/>
          <w:szCs w:val="24"/>
          <w:lang w:val="en-US" w:eastAsia="zh-CN"/>
        </w:rPr>
        <w:t>422.01</w:t>
      </w:r>
      <w:r>
        <w:rPr>
          <w:rFonts w:hint="eastAsia" w:ascii="仿宋_GB2312" w:hAnsi="仿宋_GB2312" w:eastAsia="仿宋_GB2312"/>
          <w:sz w:val="32"/>
          <w:szCs w:val="24"/>
        </w:rPr>
        <w:t>万元，支出决算为</w:t>
      </w:r>
      <w:r>
        <w:rPr>
          <w:rFonts w:hint="eastAsia" w:ascii="仿宋_GB2312" w:hAnsi="仿宋_GB2312" w:eastAsia="仿宋_GB2312"/>
          <w:sz w:val="32"/>
          <w:szCs w:val="24"/>
          <w:lang w:val="en-US" w:eastAsia="zh-CN"/>
        </w:rPr>
        <w:t>414.36</w:t>
      </w:r>
      <w:r>
        <w:rPr>
          <w:rFonts w:hint="eastAsia" w:ascii="仿宋_GB2312" w:hAnsi="仿宋_GB2312" w:eastAsia="仿宋_GB2312"/>
          <w:sz w:val="32"/>
          <w:szCs w:val="24"/>
        </w:rPr>
        <w:t>万元，完成年初预算的</w:t>
      </w:r>
      <w:r>
        <w:rPr>
          <w:rFonts w:hint="eastAsia" w:ascii="仿宋_GB2312" w:hAnsi="仿宋_GB2312" w:eastAsia="仿宋_GB2312"/>
          <w:sz w:val="32"/>
          <w:szCs w:val="24"/>
          <w:lang w:val="en-US" w:eastAsia="zh-CN"/>
        </w:rPr>
        <w:t>98.19</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sz w:val="32"/>
          <w:szCs w:val="24"/>
          <w:lang w:val="en-US" w:eastAsia="zh-CN"/>
        </w:rPr>
        <w:t>一部分支出使用上年度结余结转资金。</w:t>
      </w:r>
    </w:p>
    <w:p>
      <w:pPr>
        <w:spacing w:line="590" w:lineRule="exact"/>
        <w:ind w:firstLine="643" w:firstLineChars="200"/>
        <w:rPr>
          <w:rFonts w:hint="eastAsia" w:ascii="仿宋_GB2312" w:hAnsi="仿宋_GB2312" w:eastAsia="仿宋_GB2312"/>
          <w:sz w:val="32"/>
          <w:szCs w:val="24"/>
        </w:rPr>
      </w:pPr>
      <w:r>
        <w:rPr>
          <w:rFonts w:hint="eastAsia" w:ascii="仿宋_GB2312" w:hAnsi="仿宋_GB2312" w:eastAsia="仿宋_GB2312"/>
          <w:b/>
          <w:sz w:val="32"/>
          <w:szCs w:val="24"/>
        </w:rPr>
        <w:t>4.卫生健康支出（类）行政事业单位医疗（款）事业单位医疗（项）。</w:t>
      </w:r>
      <w:r>
        <w:rPr>
          <w:rFonts w:hint="eastAsia" w:ascii="仿宋_GB2312" w:hAnsi="仿宋_GB2312" w:eastAsia="仿宋_GB2312"/>
          <w:bCs/>
          <w:sz w:val="32"/>
          <w:szCs w:val="24"/>
        </w:rPr>
        <w:t>年</w:t>
      </w:r>
      <w:r>
        <w:rPr>
          <w:rFonts w:hint="eastAsia" w:ascii="仿宋_GB2312" w:hAnsi="仿宋_GB2312" w:eastAsia="仿宋_GB2312"/>
          <w:sz w:val="32"/>
          <w:szCs w:val="24"/>
        </w:rPr>
        <w:t>初预算为1</w:t>
      </w:r>
      <w:r>
        <w:rPr>
          <w:rFonts w:hint="eastAsia" w:ascii="仿宋_GB2312" w:hAnsi="仿宋_GB2312" w:eastAsia="仿宋_GB2312"/>
          <w:sz w:val="32"/>
          <w:szCs w:val="24"/>
          <w:lang w:val="en-US" w:eastAsia="zh-CN"/>
        </w:rPr>
        <w:t>57.17</w:t>
      </w:r>
      <w:r>
        <w:rPr>
          <w:rFonts w:hint="eastAsia" w:ascii="仿宋_GB2312" w:hAnsi="仿宋_GB2312" w:eastAsia="仿宋_GB2312"/>
          <w:sz w:val="32"/>
          <w:szCs w:val="24"/>
        </w:rPr>
        <w:t>万元，支出决算为1</w:t>
      </w:r>
      <w:r>
        <w:rPr>
          <w:rFonts w:hint="eastAsia" w:ascii="仿宋_GB2312" w:hAnsi="仿宋_GB2312" w:eastAsia="仿宋_GB2312"/>
          <w:sz w:val="32"/>
          <w:szCs w:val="24"/>
          <w:lang w:val="en-US" w:eastAsia="zh-CN"/>
        </w:rPr>
        <w:t>72.23</w:t>
      </w:r>
      <w:r>
        <w:rPr>
          <w:rFonts w:hint="eastAsia" w:ascii="仿宋_GB2312" w:hAnsi="仿宋_GB2312" w:eastAsia="仿宋_GB2312"/>
          <w:sz w:val="32"/>
          <w:szCs w:val="24"/>
        </w:rPr>
        <w:t>万元，完成年初预算的</w:t>
      </w:r>
      <w:r>
        <w:rPr>
          <w:rFonts w:hint="eastAsia" w:ascii="仿宋_GB2312" w:hAnsi="仿宋_GB2312" w:eastAsia="仿宋_GB2312"/>
          <w:sz w:val="32"/>
          <w:szCs w:val="24"/>
          <w:lang w:val="en-US" w:eastAsia="zh-CN"/>
        </w:rPr>
        <w:t>109.58</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sz w:val="32"/>
          <w:szCs w:val="24"/>
          <w:lang w:val="en-US" w:eastAsia="zh-CN"/>
        </w:rPr>
        <w:t>新增人员经费追加了预算</w:t>
      </w:r>
      <w:r>
        <w:rPr>
          <w:rFonts w:hint="eastAsia" w:ascii="仿宋_GB2312" w:hAnsi="仿宋_GB2312" w:eastAsia="仿宋_GB2312"/>
          <w:sz w:val="32"/>
          <w:szCs w:val="24"/>
        </w:rPr>
        <w:t>。</w:t>
      </w:r>
    </w:p>
    <w:p>
      <w:pPr>
        <w:spacing w:line="590" w:lineRule="exact"/>
        <w:ind w:firstLine="640"/>
        <w:rPr>
          <w:rFonts w:ascii="仿宋_GB2312" w:hAnsi="仿宋_GB2312" w:eastAsia="仿宋_GB2312"/>
          <w:sz w:val="32"/>
          <w:szCs w:val="24"/>
        </w:rPr>
      </w:pPr>
      <w:r>
        <w:rPr>
          <w:rFonts w:hint="eastAsia" w:ascii="仿宋_GB2312" w:hAnsi="仿宋_GB2312" w:eastAsia="仿宋_GB2312"/>
          <w:b/>
          <w:bCs/>
          <w:sz w:val="32"/>
          <w:szCs w:val="24"/>
        </w:rPr>
        <w:t>6</w:t>
      </w:r>
      <w:r>
        <w:rPr>
          <w:rFonts w:hint="eastAsia" w:ascii="仿宋_GB2312" w:hAnsi="仿宋_GB2312" w:eastAsia="仿宋_GB2312"/>
          <w:sz w:val="32"/>
          <w:szCs w:val="24"/>
        </w:rPr>
        <w:t>.</w:t>
      </w:r>
      <w:r>
        <w:rPr>
          <w:rFonts w:hint="eastAsia" w:ascii="仿宋_GB2312" w:hAnsi="仿宋_GB2312" w:eastAsia="仿宋_GB2312"/>
          <w:b/>
          <w:sz w:val="32"/>
          <w:szCs w:val="24"/>
        </w:rPr>
        <w:t>住房保障支出（类）住房改革支出（款）住房公积金（项）。</w:t>
      </w:r>
      <w:r>
        <w:rPr>
          <w:rFonts w:hint="eastAsia" w:ascii="仿宋_GB2312" w:hAnsi="仿宋_GB2312" w:eastAsia="仿宋_GB2312"/>
          <w:bCs/>
          <w:sz w:val="32"/>
          <w:szCs w:val="24"/>
        </w:rPr>
        <w:t>年</w:t>
      </w:r>
      <w:r>
        <w:rPr>
          <w:rFonts w:hint="eastAsia" w:ascii="仿宋_GB2312" w:hAnsi="仿宋_GB2312" w:eastAsia="仿宋_GB2312"/>
          <w:sz w:val="32"/>
          <w:szCs w:val="24"/>
        </w:rPr>
        <w:t>初预算为4</w:t>
      </w:r>
      <w:r>
        <w:rPr>
          <w:rFonts w:hint="eastAsia" w:ascii="仿宋_GB2312" w:hAnsi="仿宋_GB2312" w:eastAsia="仿宋_GB2312"/>
          <w:sz w:val="32"/>
          <w:szCs w:val="24"/>
          <w:lang w:val="en-US" w:eastAsia="zh-CN"/>
        </w:rPr>
        <w:t>92.72</w:t>
      </w:r>
      <w:r>
        <w:rPr>
          <w:rFonts w:hint="eastAsia" w:ascii="仿宋_GB2312" w:hAnsi="仿宋_GB2312" w:eastAsia="仿宋_GB2312"/>
          <w:sz w:val="32"/>
          <w:szCs w:val="24"/>
        </w:rPr>
        <w:t>万元，支出决算为</w:t>
      </w:r>
      <w:r>
        <w:rPr>
          <w:rFonts w:hint="eastAsia" w:ascii="仿宋_GB2312" w:hAnsi="仿宋_GB2312" w:eastAsia="仿宋_GB2312"/>
          <w:sz w:val="32"/>
          <w:szCs w:val="24"/>
          <w:lang w:val="en-US" w:eastAsia="zh-CN"/>
        </w:rPr>
        <w:t>480.34</w:t>
      </w:r>
      <w:r>
        <w:rPr>
          <w:rFonts w:hint="eastAsia" w:ascii="仿宋_GB2312" w:hAnsi="仿宋_GB2312" w:eastAsia="仿宋_GB2312"/>
          <w:sz w:val="32"/>
          <w:szCs w:val="24"/>
        </w:rPr>
        <w:t>万元，完成年初预算的9</w:t>
      </w:r>
      <w:r>
        <w:rPr>
          <w:rFonts w:hint="eastAsia" w:ascii="仿宋_GB2312" w:hAnsi="仿宋_GB2312" w:eastAsia="仿宋_GB2312"/>
          <w:sz w:val="32"/>
          <w:szCs w:val="24"/>
          <w:lang w:val="en-US" w:eastAsia="zh-CN"/>
        </w:rPr>
        <w:t>7.49</w:t>
      </w:r>
      <w:r>
        <w:rPr>
          <w:rFonts w:hint="eastAsia" w:ascii="仿宋_GB2312" w:hAnsi="仿宋_GB2312" w:eastAsia="仿宋_GB2312"/>
          <w:sz w:val="32"/>
          <w:szCs w:val="24"/>
        </w:rPr>
        <w:t>%。决算数与年初预算数存在差异的主要原因是</w:t>
      </w:r>
      <w:r>
        <w:rPr>
          <w:rFonts w:hint="eastAsia" w:ascii="仿宋_GB2312" w:hAnsi="仿宋_GB2312" w:eastAsia="仿宋_GB2312"/>
          <w:sz w:val="32"/>
          <w:szCs w:val="24"/>
          <w:lang w:val="en-US" w:eastAsia="zh-CN"/>
        </w:rPr>
        <w:t>一部分支出使用上年度结余结转资金。</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年度一般公共预算财政拨款基本支出</w:t>
      </w:r>
      <w:r>
        <w:rPr>
          <w:rFonts w:hint="eastAsia" w:ascii="仿宋_GB2312" w:hAnsi="仿宋_GB2312" w:eastAsia="仿宋_GB2312"/>
          <w:sz w:val="32"/>
          <w:szCs w:val="24"/>
          <w:lang w:val="en-US" w:eastAsia="zh-CN"/>
        </w:rPr>
        <w:t>6061.74</w:t>
      </w:r>
      <w:r>
        <w:rPr>
          <w:rFonts w:hint="eastAsia" w:ascii="仿宋_GB2312" w:hAnsi="仿宋_GB2312" w:eastAsia="仿宋_GB2312"/>
          <w:sz w:val="32"/>
          <w:szCs w:val="24"/>
        </w:rPr>
        <w:t>万元。其中：人员经费5</w:t>
      </w:r>
      <w:r>
        <w:rPr>
          <w:rFonts w:hint="eastAsia" w:ascii="仿宋_GB2312" w:hAnsi="仿宋_GB2312" w:eastAsia="仿宋_GB2312"/>
          <w:sz w:val="32"/>
          <w:szCs w:val="24"/>
          <w:lang w:val="en-US" w:eastAsia="zh-CN"/>
        </w:rPr>
        <w:t>906.63</w:t>
      </w:r>
      <w:r>
        <w:rPr>
          <w:rFonts w:hint="eastAsia" w:ascii="仿宋_GB2312" w:hAnsi="仿宋_GB2312" w:eastAsia="仿宋_GB2312"/>
          <w:sz w:val="32"/>
          <w:szCs w:val="24"/>
        </w:rPr>
        <w:t>万元，主要包括：基本工资、津贴补贴、</w:t>
      </w:r>
      <w:r>
        <w:rPr>
          <w:rFonts w:hint="eastAsia" w:ascii="仿宋_GB2312" w:hAnsi="仿宋_GB2312" w:eastAsia="仿宋_GB2312"/>
          <w:sz w:val="32"/>
          <w:szCs w:val="24"/>
          <w:lang w:val="en-US" w:eastAsia="zh-CN"/>
        </w:rPr>
        <w:t>奖金、</w:t>
      </w:r>
      <w:r>
        <w:rPr>
          <w:rFonts w:hint="eastAsia" w:ascii="仿宋_GB2312" w:hAnsi="仿宋_GB2312" w:eastAsia="仿宋_GB2312"/>
          <w:sz w:val="32"/>
          <w:szCs w:val="24"/>
        </w:rPr>
        <w:t>绩效工资、机关事业单位基本养老保险缴费、职工基本医疗保险缴费、其他社会保障缴费、住房公积金、退休费、生活补助；公用经费</w:t>
      </w:r>
      <w:r>
        <w:rPr>
          <w:rFonts w:hint="eastAsia" w:ascii="仿宋_GB2312" w:hAnsi="仿宋_GB2312" w:eastAsia="仿宋_GB2312"/>
          <w:sz w:val="32"/>
          <w:szCs w:val="24"/>
          <w:lang w:val="en-US" w:eastAsia="zh-CN"/>
        </w:rPr>
        <w:t>155.11</w:t>
      </w:r>
      <w:r>
        <w:rPr>
          <w:rFonts w:hint="eastAsia" w:ascii="仿宋_GB2312" w:hAnsi="仿宋_GB2312" w:eastAsia="仿宋_GB2312"/>
          <w:sz w:val="32"/>
          <w:szCs w:val="24"/>
        </w:rPr>
        <w:t>万元，主要包括：工会经费、福利费、其他商品和服务支出。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pPr>
        <w:spacing w:line="590"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年度政府性基金年初预算为0，</w:t>
      </w:r>
      <w:r>
        <w:rPr>
          <w:rFonts w:hint="eastAsia" w:ascii="仿宋_GB2312" w:hAnsi="仿宋_GB2312" w:eastAsia="仿宋_GB2312"/>
          <w:sz w:val="32"/>
          <w:szCs w:val="24"/>
          <w:lang w:val="en-US" w:eastAsia="zh-CN"/>
        </w:rPr>
        <w:t>支出决算为0万元</w:t>
      </w:r>
      <w:r>
        <w:rPr>
          <w:rFonts w:hint="eastAsia" w:ascii="仿宋_GB2312" w:hAnsi="仿宋_GB2312" w:eastAsia="仿宋_GB2312"/>
          <w:sz w:val="32"/>
          <w:szCs w:val="24"/>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24"/>
        </w:rPr>
        <w:t>202</w:t>
      </w:r>
      <w:r>
        <w:rPr>
          <w:rFonts w:hint="eastAsia" w:ascii="仿宋" w:hAnsi="仿宋" w:eastAsia="仿宋" w:cs="仿宋"/>
          <w:sz w:val="32"/>
          <w:szCs w:val="24"/>
          <w:lang w:val="en-US" w:eastAsia="zh-CN"/>
        </w:rPr>
        <w:t>2</w:t>
      </w:r>
      <w:r>
        <w:rPr>
          <w:rFonts w:hint="eastAsia" w:ascii="仿宋" w:hAnsi="仿宋" w:eastAsia="仿宋" w:cs="仿宋"/>
          <w:sz w:val="32"/>
          <w:szCs w:val="24"/>
        </w:rPr>
        <w:t>年度机关运行经费年初预算为0万元，支出决算0万元。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pPr>
        <w:spacing w:line="590" w:lineRule="exact"/>
        <w:ind w:firstLine="640"/>
        <w:rPr>
          <w:rFonts w:eastAsia="Times New Roman"/>
          <w:b/>
          <w:sz w:val="32"/>
          <w:szCs w:val="24"/>
        </w:rPr>
      </w:pPr>
      <w:r>
        <w:rPr>
          <w:rFonts w:hint="eastAsia" w:ascii="楷体_GB2312" w:hAnsi="楷体_GB2312" w:eastAsia="楷体_GB2312"/>
          <w:b/>
          <w:sz w:val="32"/>
          <w:szCs w:val="24"/>
        </w:rPr>
        <w:t>（一）</w:t>
      </w:r>
      <w:r>
        <w:rPr>
          <w:rFonts w:eastAsia="Times New Roman"/>
          <w:b/>
          <w:sz w:val="32"/>
          <w:szCs w:val="24"/>
        </w:rPr>
        <w:t>“</w:t>
      </w:r>
      <w:r>
        <w:rPr>
          <w:rFonts w:hint="eastAsia" w:ascii="楷体_GB2312" w:hAnsi="楷体_GB2312" w:eastAsia="楷体_GB2312"/>
          <w:b/>
          <w:sz w:val="32"/>
          <w:szCs w:val="24"/>
        </w:rPr>
        <w:t>三公</w:t>
      </w:r>
      <w:r>
        <w:rPr>
          <w:rFonts w:eastAsia="Times New Roman"/>
          <w:b/>
          <w:sz w:val="32"/>
          <w:szCs w:val="24"/>
        </w:rPr>
        <w:t>”</w:t>
      </w:r>
      <w:r>
        <w:rPr>
          <w:rFonts w:hint="eastAsia" w:ascii="楷体_GB2312" w:hAnsi="楷体_GB2312" w:eastAsia="楷体_GB2312"/>
          <w:b/>
          <w:sz w:val="32"/>
          <w:szCs w:val="24"/>
        </w:rPr>
        <w:t>经费财政拨款支出决算总体情况说明。</w:t>
      </w:r>
    </w:p>
    <w:p>
      <w:pPr>
        <w:spacing w:line="590"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年度</w:t>
      </w:r>
      <w:r>
        <w:rPr>
          <w:rFonts w:eastAsia="Times New Roman"/>
          <w:sz w:val="32"/>
          <w:szCs w:val="24"/>
        </w:rPr>
        <w:t>“</w:t>
      </w:r>
      <w:r>
        <w:rPr>
          <w:rFonts w:hint="eastAsia" w:ascii="仿宋_GB2312" w:hAnsi="仿宋_GB2312" w:eastAsia="仿宋_GB2312"/>
          <w:sz w:val="32"/>
          <w:szCs w:val="24"/>
        </w:rPr>
        <w:t>三公</w:t>
      </w:r>
      <w:r>
        <w:rPr>
          <w:rFonts w:eastAsia="Times New Roman"/>
          <w:sz w:val="32"/>
          <w:szCs w:val="24"/>
        </w:rPr>
        <w:t>”</w:t>
      </w:r>
      <w:r>
        <w:rPr>
          <w:rFonts w:hint="eastAsia" w:ascii="仿宋_GB2312" w:hAnsi="仿宋_GB2312" w:eastAsia="仿宋_GB2312"/>
          <w:sz w:val="32"/>
          <w:szCs w:val="24"/>
        </w:rPr>
        <w:t>经费财政拨款年初预算为0，</w:t>
      </w:r>
      <w:r>
        <w:rPr>
          <w:rFonts w:hint="eastAsia" w:ascii="仿宋_GB2312" w:hAnsi="仿宋_GB2312" w:eastAsia="仿宋_GB2312"/>
          <w:sz w:val="32"/>
          <w:szCs w:val="24"/>
          <w:lang w:val="en-US" w:eastAsia="zh-CN"/>
        </w:rPr>
        <w:t>支出决算为0万元</w:t>
      </w:r>
      <w:r>
        <w:rPr>
          <w:rFonts w:hint="eastAsia" w:ascii="仿宋_GB2312" w:hAnsi="仿宋_GB2312" w:eastAsia="仿宋_GB2312"/>
          <w:sz w:val="32"/>
          <w:szCs w:val="24"/>
        </w:rPr>
        <w:t>。。</w:t>
      </w:r>
    </w:p>
    <w:p>
      <w:pPr>
        <w:spacing w:line="590" w:lineRule="exact"/>
        <w:ind w:firstLine="640"/>
        <w:rPr>
          <w:rFonts w:eastAsia="Times New Roman"/>
          <w:b/>
          <w:sz w:val="32"/>
          <w:szCs w:val="24"/>
        </w:rPr>
      </w:pPr>
      <w:r>
        <w:rPr>
          <w:rFonts w:hint="eastAsia" w:ascii="楷体_GB2312" w:hAnsi="楷体_GB2312" w:eastAsia="楷体_GB2312"/>
          <w:b/>
          <w:sz w:val="32"/>
          <w:szCs w:val="24"/>
        </w:rPr>
        <w:t>（二）</w:t>
      </w:r>
      <w:r>
        <w:rPr>
          <w:rFonts w:eastAsia="Times New Roman"/>
          <w:b/>
          <w:sz w:val="32"/>
          <w:szCs w:val="24"/>
        </w:rPr>
        <w:t>“</w:t>
      </w:r>
      <w:r>
        <w:rPr>
          <w:rFonts w:hint="eastAsia" w:ascii="楷体_GB2312" w:hAnsi="楷体_GB2312" w:eastAsia="楷体_GB2312"/>
          <w:b/>
          <w:sz w:val="32"/>
          <w:szCs w:val="24"/>
        </w:rPr>
        <w:t>三公</w:t>
      </w:r>
      <w:r>
        <w:rPr>
          <w:rFonts w:eastAsia="Times New Roman"/>
          <w:b/>
          <w:sz w:val="32"/>
          <w:szCs w:val="24"/>
        </w:rPr>
        <w:t>”</w:t>
      </w:r>
      <w:r>
        <w:rPr>
          <w:rFonts w:hint="eastAsia" w:ascii="楷体_GB2312" w:hAnsi="楷体_GB2312" w:eastAsia="楷体_GB2312"/>
          <w:b/>
          <w:sz w:val="32"/>
          <w:szCs w:val="24"/>
        </w:rPr>
        <w:t>经费财政拨款支出决算具体情况说明。</w:t>
      </w:r>
    </w:p>
    <w:p>
      <w:pPr>
        <w:spacing w:line="590"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年度</w:t>
      </w:r>
      <w:r>
        <w:rPr>
          <w:rFonts w:eastAsia="Times New Roman"/>
          <w:sz w:val="32"/>
          <w:szCs w:val="24"/>
        </w:rPr>
        <w:t>“</w:t>
      </w:r>
      <w:r>
        <w:rPr>
          <w:rFonts w:hint="eastAsia" w:ascii="仿宋_GB2312" w:hAnsi="仿宋_GB2312" w:eastAsia="仿宋_GB2312"/>
          <w:sz w:val="32"/>
          <w:szCs w:val="24"/>
        </w:rPr>
        <w:t>三公</w:t>
      </w:r>
      <w:r>
        <w:rPr>
          <w:rFonts w:eastAsia="Times New Roman"/>
          <w:sz w:val="32"/>
          <w:szCs w:val="24"/>
        </w:rPr>
        <w:t>”</w:t>
      </w:r>
      <w:r>
        <w:rPr>
          <w:rFonts w:hint="eastAsia" w:ascii="仿宋_GB2312" w:hAnsi="仿宋_GB2312" w:eastAsia="仿宋_GB2312"/>
          <w:sz w:val="32"/>
          <w:szCs w:val="24"/>
        </w:rPr>
        <w:t>经费财政拨款支出决算中，因公出国（境）费支出决算0万元，公务用车购置及运行费支出决算0万元，公务接待费支出决算0万元，具体情况如下：</w:t>
      </w:r>
    </w:p>
    <w:p>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widowControl/>
        <w:numPr>
          <w:ilvl w:val="0"/>
          <w:numId w:val="0"/>
        </w:numPr>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sz w:val="32"/>
          <w:szCs w:val="24"/>
        </w:rPr>
        <w:t>因公出国（境）团组数0个，因公出国（境）人次数0人。</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eastAsia="Times New Roman"/>
          <w:kern w:val="0"/>
          <w:sz w:val="18"/>
          <w:szCs w:val="24"/>
          <w:lang w:val="zh-CN"/>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numPr>
          <w:ilvl w:val="0"/>
          <w:numId w:val="3"/>
        </w:numPr>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机关运行经费支出情况说明</w:t>
      </w:r>
    </w:p>
    <w:p>
      <w:pPr>
        <w:widowControl/>
        <w:numPr>
          <w:ilvl w:val="0"/>
          <w:numId w:val="0"/>
        </w:numPr>
        <w:spacing w:line="590" w:lineRule="exact"/>
        <w:ind w:firstLine="643" w:firstLineChars="200"/>
        <w:outlineLvl w:val="1"/>
        <w:rPr>
          <w:rFonts w:hint="eastAsia" w:ascii="黑体" w:hAnsi="黑体" w:eastAsia="黑体" w:cs="黑体"/>
          <w:sz w:val="32"/>
          <w:szCs w:val="32"/>
        </w:rPr>
      </w:pPr>
      <w:r>
        <w:rPr>
          <w:rFonts w:hint="eastAsia" w:ascii="仿宋_GB2312" w:hAnsi="仿宋_GB2312" w:eastAsia="仿宋_GB2312" w:cs="仿宋_GB2312"/>
          <w:b/>
          <w:sz w:val="32"/>
          <w:szCs w:val="32"/>
        </w:rPr>
        <w:t>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spacing w:line="590" w:lineRule="exact"/>
        <w:ind w:firstLine="640"/>
        <w:rPr>
          <w:rFonts w:hint="eastAsia" w:eastAsia="仿宋_GB2312"/>
          <w:kern w:val="0"/>
          <w:sz w:val="18"/>
          <w:szCs w:val="24"/>
          <w:lang w:val="zh-CN"/>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年度政府采购支出总额</w:t>
      </w:r>
      <w:r>
        <w:rPr>
          <w:rFonts w:hint="eastAsia" w:ascii="仿宋_GB2312" w:hAnsi="仿宋_GB2312" w:eastAsia="仿宋_GB2312"/>
          <w:sz w:val="32"/>
          <w:szCs w:val="24"/>
          <w:lang w:val="en-US" w:eastAsia="zh-CN"/>
        </w:rPr>
        <w:t>375.85</w:t>
      </w:r>
      <w:r>
        <w:rPr>
          <w:rFonts w:hint="eastAsia" w:ascii="仿宋_GB2312" w:hAnsi="仿宋_GB2312" w:eastAsia="仿宋_GB2312"/>
          <w:sz w:val="32"/>
          <w:szCs w:val="24"/>
        </w:rPr>
        <w:t>万元，其中：政府采购货物支出</w:t>
      </w:r>
      <w:r>
        <w:rPr>
          <w:rFonts w:hint="eastAsia" w:ascii="仿宋_GB2312" w:hAnsi="仿宋_GB2312" w:eastAsia="仿宋_GB2312"/>
          <w:sz w:val="32"/>
          <w:szCs w:val="24"/>
          <w:lang w:val="en-US" w:eastAsia="zh-CN"/>
        </w:rPr>
        <w:t>375.85</w:t>
      </w:r>
      <w:r>
        <w:rPr>
          <w:rFonts w:hint="eastAsia" w:ascii="仿宋_GB2312" w:hAnsi="仿宋_GB2312" w:eastAsia="仿宋_GB2312"/>
          <w:sz w:val="32"/>
          <w:szCs w:val="24"/>
        </w:rPr>
        <w:t>万元、政府采购工程支出0万元、政府采购服务支出0万元。授予中小企业合同金额0万元。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spacing w:line="590" w:lineRule="exact"/>
        <w:ind w:firstLine="640"/>
        <w:rPr>
          <w:rFonts w:eastAsia="Times New Roman"/>
          <w:kern w:val="0"/>
          <w:sz w:val="18"/>
          <w:szCs w:val="24"/>
        </w:rPr>
      </w:pPr>
      <w:r>
        <w:rPr>
          <w:rFonts w:hint="eastAsia" w:ascii="仿宋_GB2312" w:hAnsi="仿宋_GB2312" w:eastAsia="仿宋_GB2312"/>
          <w:sz w:val="32"/>
          <w:szCs w:val="24"/>
        </w:rPr>
        <w:t>202</w:t>
      </w:r>
      <w:r>
        <w:rPr>
          <w:rFonts w:hint="eastAsia" w:ascii="仿宋_GB2312" w:hAnsi="仿宋_GB2312" w:eastAsia="仿宋_GB2312"/>
          <w:sz w:val="32"/>
          <w:szCs w:val="24"/>
          <w:lang w:val="en-US" w:eastAsia="zh-CN"/>
        </w:rPr>
        <w:t>2</w:t>
      </w:r>
      <w:r>
        <w:rPr>
          <w:rFonts w:hint="eastAsia" w:ascii="仿宋_GB2312" w:hAnsi="仿宋_GB2312" w:eastAsia="仿宋_GB2312"/>
          <w:sz w:val="32"/>
          <w:szCs w:val="24"/>
        </w:rPr>
        <w:t>年期末，我单位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ascii="仿宋" w:hAnsi="仿宋" w:eastAsia="仿宋"/>
          <w:sz w:val="32"/>
          <w:szCs w:val="32"/>
        </w:rPr>
      </w:pPr>
      <w:r>
        <w:rPr>
          <w:rFonts w:hint="eastAsia" w:ascii="仿宋" w:hAnsi="仿宋" w:eastAsia="仿宋"/>
          <w:color w:val="666666"/>
          <w:sz w:val="32"/>
          <w:szCs w:val="32"/>
          <w:shd w:val="clear" w:color="auto" w:fill="FFFFFF"/>
        </w:rPr>
        <w:t>根据预算绩效管理要</w:t>
      </w:r>
      <w:r>
        <w:rPr>
          <w:rFonts w:hint="eastAsia" w:ascii="仿宋" w:hAnsi="仿宋" w:eastAsia="仿宋"/>
          <w:color w:val="666666"/>
          <w:sz w:val="32"/>
          <w:szCs w:val="32"/>
          <w:shd w:val="clear" w:color="auto" w:fill="FFFFFF"/>
          <w:lang w:val="en-US" w:eastAsia="zh-CN"/>
        </w:rPr>
        <w:t>求</w:t>
      </w:r>
      <w:r>
        <w:rPr>
          <w:rFonts w:hint="eastAsia" w:ascii="仿宋" w:hAnsi="仿宋" w:eastAsia="仿宋"/>
          <w:color w:val="666666"/>
          <w:sz w:val="32"/>
          <w:szCs w:val="32"/>
          <w:shd w:val="clear" w:color="auto" w:fill="FFFFFF"/>
        </w:rPr>
        <w:t>，</w:t>
      </w:r>
      <w:r>
        <w:rPr>
          <w:rFonts w:ascii="仿宋" w:hAnsi="仿宋" w:eastAsia="仿宋"/>
          <w:sz w:val="32"/>
          <w:szCs w:val="32"/>
        </w:rPr>
        <w:t>对我单位20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年的</w:t>
      </w:r>
      <w:r>
        <w:rPr>
          <w:rFonts w:hint="eastAsia" w:ascii="仿宋" w:hAnsi="仿宋" w:eastAsia="仿宋"/>
          <w:sz w:val="32"/>
          <w:szCs w:val="32"/>
        </w:rPr>
        <w:t>项目</w:t>
      </w:r>
      <w:r>
        <w:rPr>
          <w:rFonts w:ascii="仿宋" w:hAnsi="仿宋" w:eastAsia="仿宋"/>
          <w:sz w:val="32"/>
          <w:szCs w:val="32"/>
        </w:rPr>
        <w:t>绩效目标完成情况进行自评。自评过程中，本着强化绩效目标意识、提高部门</w:t>
      </w:r>
      <w:r>
        <w:rPr>
          <w:rFonts w:hint="eastAsia" w:ascii="仿宋" w:hAnsi="仿宋" w:eastAsia="仿宋"/>
          <w:sz w:val="32"/>
          <w:szCs w:val="32"/>
        </w:rPr>
        <w:t>项目</w:t>
      </w:r>
      <w:r>
        <w:rPr>
          <w:rFonts w:ascii="仿宋" w:hAnsi="仿宋" w:eastAsia="仿宋"/>
          <w:sz w:val="32"/>
          <w:szCs w:val="32"/>
        </w:rPr>
        <w:t>资金使用效率、提升绩效管理水平的原则，我单位完成20</w:t>
      </w:r>
      <w:r>
        <w:rPr>
          <w:rFonts w:hint="eastAsia" w:ascii="仿宋" w:hAnsi="仿宋" w:eastAsia="仿宋"/>
          <w:sz w:val="32"/>
          <w:szCs w:val="32"/>
        </w:rPr>
        <w:t>2</w:t>
      </w:r>
      <w:r>
        <w:rPr>
          <w:rFonts w:hint="eastAsia" w:ascii="仿宋" w:hAnsi="仿宋" w:eastAsia="仿宋"/>
          <w:sz w:val="32"/>
          <w:szCs w:val="32"/>
          <w:lang w:val="en-US" w:eastAsia="zh-CN"/>
        </w:rPr>
        <w:t>2</w:t>
      </w:r>
      <w:r>
        <w:rPr>
          <w:rFonts w:ascii="仿宋" w:hAnsi="仿宋" w:eastAsia="仿宋"/>
          <w:sz w:val="32"/>
          <w:szCs w:val="32"/>
        </w:rPr>
        <w:t>年绩效评价涉及</w:t>
      </w:r>
      <w:r>
        <w:rPr>
          <w:rFonts w:hint="eastAsia" w:ascii="仿宋" w:hAnsi="仿宋" w:eastAsia="仿宋"/>
          <w:sz w:val="32"/>
          <w:szCs w:val="32"/>
          <w:lang w:val="en-US" w:eastAsia="zh-CN"/>
        </w:rPr>
        <w:t>3</w:t>
      </w:r>
      <w:r>
        <w:rPr>
          <w:rFonts w:ascii="仿宋" w:hAnsi="仿宋" w:eastAsia="仿宋"/>
          <w:sz w:val="32"/>
          <w:szCs w:val="32"/>
        </w:rPr>
        <w:t>个项目。</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2022年对部门预算绩效管理工作开展情况进行了自查自评，绩效自评总金额为589.70万元，其中：1、2022年义务教育综合奖补资金300万元；2、2022年生均公用经费288.10万元；3、2022年退休教师提高基本退休费1.60万元。将评价结果作为预算安排重要依据，参照预算执行情况，统筹支出需求，保障重点支出，调整支出结构，不断强化绩效理念，推动整体绩效管理水平不断提升。</w:t>
      </w:r>
    </w:p>
    <w:p>
      <w:pPr>
        <w:widowControl/>
        <w:spacing w:line="590" w:lineRule="exact"/>
        <w:ind w:firstLine="640" w:firstLineChars="200"/>
        <w:rPr>
          <w:rFonts w:hint="eastAsia" w:ascii="仿宋_GB2312" w:hAnsi="仿宋_GB2312" w:eastAsia="仿宋_GB2312" w:cs="仿宋_GB2312"/>
          <w:sz w:val="32"/>
          <w:szCs w:val="32"/>
          <w:lang w:val="en-US" w:eastAsia="zh-CN"/>
        </w:rPr>
      </w:pPr>
    </w:p>
    <w:p>
      <w:pPr>
        <w:widowControl/>
        <w:spacing w:line="590" w:lineRule="exact"/>
        <w:ind w:firstLine="640" w:firstLineChars="200"/>
        <w:rPr>
          <w:rFonts w:hint="eastAsia" w:ascii="仿宋_GB2312" w:hAnsi="仿宋_GB2312" w:eastAsia="仿宋_GB2312" w:cs="仿宋_GB2312"/>
          <w:sz w:val="32"/>
          <w:szCs w:val="32"/>
          <w:lang w:val="en-US" w:eastAsia="zh-CN"/>
        </w:rPr>
      </w:pPr>
    </w:p>
    <w:p>
      <w:pPr>
        <w:widowControl/>
        <w:spacing w:line="590" w:lineRule="exact"/>
        <w:ind w:firstLine="640" w:firstLineChars="200"/>
        <w:rPr>
          <w:rFonts w:hint="eastAsia" w:ascii="仿宋_GB2312" w:hAnsi="仿宋_GB2312" w:eastAsia="仿宋_GB2312" w:cs="仿宋_GB2312"/>
          <w:sz w:val="32"/>
          <w:szCs w:val="32"/>
          <w:lang w:val="en-US" w:eastAsia="zh-CN"/>
        </w:rPr>
      </w:pPr>
    </w:p>
    <w:p>
      <w:pPr>
        <w:widowControl/>
        <w:spacing w:line="590" w:lineRule="exact"/>
        <w:ind w:firstLine="640" w:firstLineChars="200"/>
        <w:rPr>
          <w:rFonts w:hint="eastAsia" w:ascii="仿宋_GB2312" w:hAnsi="仿宋_GB2312" w:eastAsia="仿宋_GB2312" w:cs="仿宋_GB2312"/>
          <w:sz w:val="32"/>
          <w:szCs w:val="32"/>
          <w:lang w:val="en-US" w:eastAsia="zh-CN"/>
        </w:rPr>
      </w:pPr>
    </w:p>
    <w:p>
      <w:pPr>
        <w:tabs>
          <w:tab w:val="left" w:pos="864"/>
        </w:tabs>
        <w:bidi w:val="0"/>
        <w:jc w:val="left"/>
        <w:rPr>
          <w:rFonts w:hint="eastAsia"/>
          <w:lang w:val="en-US" w:eastAsia="zh-CN"/>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tbl>
      <w:tblPr>
        <w:tblStyle w:val="4"/>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5"/>
        <w:gridCol w:w="1529"/>
        <w:gridCol w:w="1912"/>
        <w:gridCol w:w="928"/>
        <w:gridCol w:w="846"/>
        <w:gridCol w:w="851"/>
        <w:gridCol w:w="951"/>
        <w:gridCol w:w="965"/>
        <w:gridCol w:w="781"/>
        <w:gridCol w:w="846"/>
        <w:gridCol w:w="860"/>
        <w:gridCol w:w="560"/>
        <w:gridCol w:w="628"/>
        <w:gridCol w:w="753"/>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4174" w:type="dxa"/>
            <w:gridSpan w:val="1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项目支出绩效自评汇总表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项目单位</w:t>
            </w:r>
          </w:p>
        </w:tc>
        <w:tc>
          <w:tcPr>
            <w:tcW w:w="19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年初预算数（万元）</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全年预算数（万元）</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全年执行数（万元）</w:t>
            </w:r>
          </w:p>
        </w:tc>
        <w:tc>
          <w:tcPr>
            <w:tcW w:w="9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预算执行率</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是否为追加预算项目</w:t>
            </w: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是否为专项转移支付项目</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8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评价等级</w:t>
            </w:r>
          </w:p>
        </w:tc>
        <w:tc>
          <w:tcPr>
            <w:tcW w:w="9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备注（如有较大偏差请写明原因）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5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良</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差</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商丘市第一实验小学</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退休教师提高基本退休费</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1.29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1.60 </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1.60 </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100.00%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否</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97.60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333333"/>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商丘市第一实验小学</w:t>
            </w:r>
            <w:r>
              <w:rPr>
                <w:rFonts w:hint="eastAsia" w:ascii="宋体" w:hAnsi="宋体" w:eastAsia="宋体" w:cs="宋体"/>
                <w:i w:val="0"/>
                <w:iCs w:val="0"/>
                <w:color w:val="FFFFFF"/>
                <w:kern w:val="0"/>
                <w:sz w:val="21"/>
                <w:szCs w:val="21"/>
                <w:u w:val="none"/>
                <w:lang w:val="en-US" w:eastAsia="zh-CN" w:bidi="ar"/>
              </w:rPr>
              <w:t>一实验小学</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2022年义务教育综合奖补资金</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0.00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300.00 </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300.00 </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100.00%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是</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否</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100.00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3</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商丘市第一实验小学</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生均公用经费</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288.10 </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288.10 </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234.05 </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81.24%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否</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否</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93.41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333333"/>
                <w:sz w:val="21"/>
                <w:szCs w:val="21"/>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汇总</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商丘市第一实验小学</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289.39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589.7</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 xml:space="preserve">535.65 </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93.75%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否</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97.00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2"/>
                <w:szCs w:val="22"/>
                <w:u w:val="none"/>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备注：1.年初预算数、全年预算数、全年执行数以万元为单位，并保留两位小数。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2.最后一栏请汇总年初预算数、全年预算数、全年执行数金额以及优、良、中、差项目个数。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3.预算执行率=全年执行数/全年预算数*100%,预算执行率需保留两位小数。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174" w:type="dxa"/>
            <w:gridSpan w:val="1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4.评价结果实行百分制、四级分类，分别是：90（含）-100分为优、80（含）-90分为良、60（含）-80分为中、60分以下为差。</w:t>
            </w:r>
          </w:p>
        </w:tc>
      </w:tr>
    </w:tbl>
    <w:p>
      <w:pPr>
        <w:widowControl/>
        <w:spacing w:line="590" w:lineRule="exact"/>
        <w:rPr>
          <w:rFonts w:hint="eastAsia" w:ascii="仿宋_GB2312" w:hAnsi="仿宋_GB2312" w:eastAsia="仿宋_GB2312" w:cs="仿宋_GB2312"/>
          <w:sz w:val="32"/>
          <w:szCs w:val="32"/>
          <w:lang w:val="en-US" w:eastAsia="zh-CN"/>
        </w:rPr>
      </w:pPr>
    </w:p>
    <w:p>
      <w:pPr>
        <w:widowControl/>
        <w:numPr>
          <w:ilvl w:val="0"/>
          <w:numId w:val="4"/>
        </w:numPr>
        <w:spacing w:line="590" w:lineRule="exact"/>
        <w:ind w:firstLine="643" w:firstLineChars="200"/>
        <w:outlineLvl w:val="2"/>
        <w:rPr>
          <w:rFonts w:hint="eastAsia" w:ascii="楷体_GB2312" w:hAnsi="楷体_GB2312" w:eastAsia="楷体_GB2312" w:cs="楷体_GB2312"/>
          <w:b/>
          <w:bCs/>
          <w:sz w:val="32"/>
          <w:szCs w:val="32"/>
        </w:rPr>
        <w:sectPr>
          <w:pgSz w:w="16838" w:h="11906" w:orient="landscape"/>
          <w:pgMar w:top="1587" w:right="1440" w:bottom="1531" w:left="1440"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widowControl/>
        <w:numPr>
          <w:ilvl w:val="0"/>
          <w:numId w:val="4"/>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以部门为主体开展的重点项目绩效评价结果</w:t>
      </w:r>
      <w:r>
        <w:rPr>
          <w:rFonts w:hint="eastAsia" w:ascii="楷体_GB2312" w:hAnsi="楷体_GB2312" w:eastAsia="楷体_GB2312" w:cs="楷体_GB2312"/>
          <w:b/>
          <w:bCs/>
          <w:sz w:val="32"/>
          <w:szCs w:val="32"/>
        </w:rPr>
        <w:t>。</w:t>
      </w:r>
    </w:p>
    <w:p>
      <w:pPr>
        <w:widowControl/>
        <w:numPr>
          <w:ilvl w:val="0"/>
          <w:numId w:val="0"/>
        </w:numPr>
        <w:spacing w:line="590" w:lineRule="exact"/>
        <w:outlineLvl w:val="2"/>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w:t>
      </w:r>
      <w:r>
        <w:rPr>
          <w:rFonts w:hint="eastAsia" w:ascii="仿宋" w:hAnsi="仿宋" w:eastAsia="仿宋" w:cs="仿宋"/>
          <w:b w:val="0"/>
          <w:bCs w:val="0"/>
          <w:sz w:val="32"/>
          <w:szCs w:val="32"/>
          <w:lang w:val="en-US" w:eastAsia="zh-CN"/>
        </w:rPr>
        <w:t>2022年度我单位没有开展重点项目绩效评价。</w:t>
      </w:r>
    </w:p>
    <w:p>
      <w:pPr>
        <w:jc w:val="both"/>
        <w:outlineLvl w:val="0"/>
        <w:rPr>
          <w:rFonts w:hint="eastAsia" w:ascii="黑体" w:hAnsi="黑体" w:eastAsia="黑体" w:cs="黑体"/>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ind w:firstLine="1920" w:firstLineChars="400"/>
        <w:jc w:val="both"/>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w:t>
      </w:r>
      <w:r>
        <w:rPr>
          <w:rFonts w:ascii="仿宋_GB2312" w:hAnsi="仿宋_GB2312" w:eastAsia="仿宋_GB2312" w:cs="仿宋_GB2312"/>
          <w:b/>
          <w:sz w:val="32"/>
          <w:szCs w:val="32"/>
        </w:rPr>
        <w:t>部门（</w:t>
      </w:r>
      <w:r>
        <w:rPr>
          <w:rFonts w:hint="eastAsia" w:ascii="仿宋_GB2312" w:hAnsi="仿宋_GB2312" w:eastAsia="仿宋_GB2312" w:cs="仿宋_GB2312"/>
          <w:b/>
          <w:sz w:val="32"/>
          <w:szCs w:val="32"/>
        </w:rPr>
        <w:t>单位</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可根据</w:t>
      </w:r>
      <w:r>
        <w:rPr>
          <w:rFonts w:ascii="仿宋_GB2312" w:hAnsi="仿宋_GB2312" w:eastAsia="仿宋_GB2312" w:cs="仿宋_GB2312"/>
          <w:b/>
          <w:sz w:val="32"/>
          <w:szCs w:val="32"/>
        </w:rPr>
        <w:t>本部门公开内容对</w:t>
      </w:r>
      <w:r>
        <w:rPr>
          <w:rFonts w:hint="eastAsia" w:ascii="仿宋_GB2312" w:hAnsi="仿宋_GB2312" w:eastAsia="仿宋_GB2312" w:cs="仿宋_GB2312"/>
          <w:b/>
          <w:sz w:val="32"/>
          <w:szCs w:val="32"/>
        </w:rPr>
        <w:t>名词</w:t>
      </w:r>
      <w:r>
        <w:rPr>
          <w:rFonts w:ascii="仿宋_GB2312" w:hAnsi="仿宋_GB2312" w:eastAsia="仿宋_GB2312" w:cs="仿宋_GB2312"/>
          <w:b/>
          <w:sz w:val="32"/>
          <w:szCs w:val="32"/>
        </w:rPr>
        <w:t>解释</w:t>
      </w:r>
      <w:r>
        <w:rPr>
          <w:rFonts w:hint="eastAsia" w:ascii="仿宋_GB2312" w:hAnsi="仿宋_GB2312" w:eastAsia="仿宋_GB2312" w:cs="仿宋_GB2312"/>
          <w:b/>
          <w:sz w:val="32"/>
          <w:szCs w:val="32"/>
        </w:rPr>
        <w:t>进行相应</w:t>
      </w:r>
      <w:r>
        <w:rPr>
          <w:rFonts w:ascii="仿宋_GB2312" w:hAnsi="仿宋_GB2312" w:eastAsia="仿宋_GB2312" w:cs="仿宋_GB2312"/>
          <w:b/>
          <w:sz w:val="32"/>
          <w:szCs w:val="32"/>
        </w:rPr>
        <w:t>增补</w:t>
      </w:r>
      <w:r>
        <w:rPr>
          <w:rFonts w:hint="eastAsia" w:ascii="仿宋_GB2312" w:hAnsi="仿宋_GB2312" w:eastAsia="仿宋_GB2312" w:cs="仿宋_GB2312"/>
          <w:b/>
          <w:sz w:val="32"/>
          <w:szCs w:val="32"/>
        </w:rPr>
        <w:t>）</w:t>
      </w:r>
    </w:p>
    <w:p>
      <w:bookmarkStart w:id="0" w:name="_GoBack"/>
      <w:bookmarkEnd w:id="0"/>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BC67A"/>
    <w:multiLevelType w:val="singleLevel"/>
    <w:tmpl w:val="BC5BC67A"/>
    <w:lvl w:ilvl="0" w:tentative="0">
      <w:start w:val="3"/>
      <w:numFmt w:val="chineseCounting"/>
      <w:suff w:val="nothing"/>
      <w:lvlText w:val="（%1）"/>
      <w:lvlJc w:val="left"/>
      <w:rPr>
        <w:rFonts w:hint="eastAsia"/>
      </w:rPr>
    </w:lvl>
  </w:abstractNum>
  <w:abstractNum w:abstractNumId="1">
    <w:nsid w:val="D74E0913"/>
    <w:multiLevelType w:val="singleLevel"/>
    <w:tmpl w:val="D74E0913"/>
    <w:lvl w:ilvl="0" w:tentative="0">
      <w:start w:val="10"/>
      <w:numFmt w:val="chineseCounting"/>
      <w:suff w:val="nothing"/>
      <w:lvlText w:val="%1、"/>
      <w:lvlJc w:val="left"/>
      <w:rPr>
        <w:rFonts w:hint="eastAsia"/>
      </w:rPr>
    </w:lvl>
  </w:abstractNum>
  <w:abstractNum w:abstractNumId="2">
    <w:nsid w:val="EBD17D24"/>
    <w:multiLevelType w:val="singleLevel"/>
    <w:tmpl w:val="EBD17D24"/>
    <w:lvl w:ilvl="0" w:tentative="0">
      <w:start w:val="1"/>
      <w:numFmt w:val="decimal"/>
      <w:suff w:val="nothing"/>
      <w:lvlText w:val="%1．"/>
      <w:lvlJc w:val="left"/>
    </w:lvl>
  </w:abstractNum>
  <w:abstractNum w:abstractNumId="3">
    <w:nsid w:val="5971BE17"/>
    <w:multiLevelType w:val="singleLevel"/>
    <w:tmpl w:val="5971BE17"/>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B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2023-10-09T04:42:45Z</dcterms:created>
  <dc:creator>Administrator</dc:creator>
  <cp:lastModifiedBy>a丁丁 </cp:lastModifiedBy>
  <dcterms:modified xsi:type="dcterms:W3CDTF">2023-10-09T04:44:48Z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